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iCs/>
          <w:sz w:val="42"/>
          <w:szCs w:val="42"/>
        </w:rPr>
      </w:pPr>
      <w:r>
        <w:rPr>
          <w:rFonts w:hint="eastAsia" w:asciiTheme="majorEastAsia" w:hAnsiTheme="majorEastAsia" w:eastAsiaTheme="majorEastAsia"/>
          <w:iCs/>
          <w:sz w:val="42"/>
          <w:szCs w:val="42"/>
        </w:rPr>
        <w:t>2019年-2021年长沙市雨花区社保基金存放银行机构定点采购项目更正公告（二）</w:t>
      </w:r>
    </w:p>
    <w:p>
      <w:pPr>
        <w:spacing w:line="500" w:lineRule="exact"/>
        <w:ind w:firstLine="540" w:firstLineChars="200"/>
        <w:rPr>
          <w:rFonts w:asciiTheme="minorEastAsia" w:hAnsiTheme="minorEastAsia"/>
          <w:sz w:val="27"/>
          <w:szCs w:val="27"/>
        </w:rPr>
      </w:pP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原公告的采购项目名称：2019年-2021年长沙市雨花区社保基金存放银行机构定点采购项目</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首次公告日期：</w:t>
      </w:r>
      <w:r>
        <w:rPr>
          <w:rFonts w:asciiTheme="minorEastAsia" w:hAnsiTheme="minorEastAsia"/>
          <w:sz w:val="27"/>
          <w:szCs w:val="27"/>
        </w:rPr>
        <w:t>2018-</w:t>
      </w:r>
      <w:r>
        <w:rPr>
          <w:rFonts w:hint="eastAsia" w:asciiTheme="minorEastAsia" w:hAnsiTheme="minorEastAsia"/>
          <w:sz w:val="27"/>
          <w:szCs w:val="27"/>
        </w:rPr>
        <w:t>11</w:t>
      </w:r>
      <w:r>
        <w:rPr>
          <w:rFonts w:asciiTheme="minorEastAsia" w:hAnsiTheme="minorEastAsia"/>
          <w:sz w:val="27"/>
          <w:szCs w:val="27"/>
        </w:rPr>
        <w:t>-</w:t>
      </w:r>
      <w:r>
        <w:rPr>
          <w:rFonts w:hint="eastAsia" w:asciiTheme="minorEastAsia" w:hAnsiTheme="minorEastAsia"/>
          <w:sz w:val="27"/>
          <w:szCs w:val="27"/>
        </w:rPr>
        <w:t>22</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更正事项：</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1、招标文件P11，21.投标文件的签署：21.1投标文件正本一份，电子文件一份(U盘或光盘,并标注投标人名称)，副本份数见招标文件前附表。正本和副本的封面应注明“正本”或“副本”的字样，当正本和副本不一致时，以正本为准。</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2、招标文件P49：</w:t>
      </w:r>
    </w:p>
    <w:p>
      <w:pPr>
        <w:adjustRightInd w:val="0"/>
        <w:snapToGrid w:val="0"/>
        <w:spacing w:beforeLines="50" w:line="360" w:lineRule="auto"/>
        <w:rPr>
          <w:rFonts w:ascii="宋体" w:hAnsi="宋体" w:cs="楷体_GB2312"/>
          <w:szCs w:val="21"/>
        </w:rPr>
      </w:pPr>
      <w:r>
        <w:rPr>
          <w:rFonts w:hint="eastAsia" w:ascii="宋体" w:hAnsi="宋体" w:cs="楷体_GB2312"/>
          <w:szCs w:val="21"/>
        </w:rPr>
        <w:t>5.贷款资金余额统计表格(可另附页)：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226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75" w:type="dxa"/>
            <w:shd w:val="clear" w:color="auto" w:fill="auto"/>
            <w:vAlign w:val="center"/>
          </w:tcPr>
          <w:p>
            <w:pPr>
              <w:jc w:val="center"/>
              <w:rPr>
                <w:szCs w:val="21"/>
              </w:rPr>
            </w:pPr>
            <w:r>
              <w:rPr>
                <w:rFonts w:hint="eastAsia"/>
                <w:szCs w:val="21"/>
              </w:rPr>
              <w:t>序号</w:t>
            </w:r>
          </w:p>
        </w:tc>
        <w:tc>
          <w:tcPr>
            <w:tcW w:w="1560" w:type="dxa"/>
            <w:shd w:val="clear" w:color="auto" w:fill="auto"/>
            <w:vAlign w:val="center"/>
          </w:tcPr>
          <w:p>
            <w:pPr>
              <w:jc w:val="center"/>
              <w:rPr>
                <w:szCs w:val="21"/>
              </w:rPr>
            </w:pPr>
            <w:r>
              <w:rPr>
                <w:rFonts w:hint="eastAsia"/>
                <w:szCs w:val="21"/>
              </w:rPr>
              <w:t>银行名称（具体贷款的分支机构名称）</w:t>
            </w:r>
          </w:p>
        </w:tc>
        <w:tc>
          <w:tcPr>
            <w:tcW w:w="1984" w:type="dxa"/>
            <w:shd w:val="clear" w:color="auto" w:fill="auto"/>
            <w:vAlign w:val="center"/>
          </w:tcPr>
          <w:p>
            <w:pPr>
              <w:jc w:val="center"/>
              <w:rPr>
                <w:szCs w:val="21"/>
              </w:rPr>
            </w:pPr>
            <w:r>
              <w:rPr>
                <w:rFonts w:hint="eastAsia"/>
                <w:szCs w:val="21"/>
              </w:rPr>
              <w:t>贷款单位名称</w:t>
            </w:r>
          </w:p>
        </w:tc>
        <w:tc>
          <w:tcPr>
            <w:tcW w:w="2268" w:type="dxa"/>
            <w:shd w:val="clear" w:color="auto" w:fill="auto"/>
            <w:vAlign w:val="center"/>
          </w:tcPr>
          <w:p>
            <w:pPr>
              <w:jc w:val="center"/>
              <w:rPr>
                <w:szCs w:val="21"/>
              </w:rPr>
            </w:pPr>
            <w:r>
              <w:rPr>
                <w:rFonts w:hint="eastAsia"/>
                <w:szCs w:val="21"/>
              </w:rPr>
              <w:t>借据金额</w:t>
            </w:r>
          </w:p>
        </w:tc>
        <w:tc>
          <w:tcPr>
            <w:tcW w:w="2035" w:type="dxa"/>
            <w:shd w:val="clear" w:color="auto" w:fill="auto"/>
            <w:vAlign w:val="center"/>
          </w:tcPr>
          <w:p>
            <w:pPr>
              <w:jc w:val="center"/>
              <w:rPr>
                <w:szCs w:val="21"/>
              </w:rPr>
            </w:pPr>
            <w:r>
              <w:rPr>
                <w:rFonts w:hint="eastAsia"/>
                <w:szCs w:val="21"/>
              </w:rPr>
              <w:t>2017年12月31日止贷款余额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gridSpan w:val="3"/>
            <w:shd w:val="clear" w:color="auto" w:fill="auto"/>
          </w:tcPr>
          <w:p>
            <w:pPr>
              <w:jc w:val="center"/>
              <w:rPr>
                <w:szCs w:val="21"/>
              </w:rPr>
            </w:pPr>
            <w:r>
              <w:rPr>
                <w:rFonts w:hint="eastAsia"/>
                <w:szCs w:val="21"/>
              </w:rPr>
              <w:t>合计</w:t>
            </w:r>
          </w:p>
        </w:tc>
        <w:tc>
          <w:tcPr>
            <w:tcW w:w="2268" w:type="dxa"/>
            <w:shd w:val="clear" w:color="auto" w:fill="auto"/>
          </w:tcPr>
          <w:p>
            <w:pPr>
              <w:rPr>
                <w:sz w:val="24"/>
                <w:szCs w:val="24"/>
              </w:rPr>
            </w:pPr>
          </w:p>
        </w:tc>
        <w:tc>
          <w:tcPr>
            <w:tcW w:w="2035" w:type="dxa"/>
            <w:shd w:val="clear" w:color="auto" w:fill="auto"/>
          </w:tcPr>
          <w:p>
            <w:pPr>
              <w:rPr>
                <w:sz w:val="24"/>
                <w:szCs w:val="24"/>
              </w:rPr>
            </w:pPr>
          </w:p>
        </w:tc>
      </w:tr>
    </w:tbl>
    <w:p>
      <w:pPr>
        <w:adjustRightInd w:val="0"/>
        <w:snapToGrid w:val="0"/>
        <w:spacing w:beforeLines="50"/>
      </w:pPr>
      <w:r>
        <w:rPr>
          <w:rFonts w:hint="eastAsia"/>
        </w:rPr>
        <w:t>注：（1）附借据复印件。</w:t>
      </w:r>
    </w:p>
    <w:p>
      <w:pPr>
        <w:spacing w:line="500" w:lineRule="exact"/>
      </w:pPr>
      <w:r>
        <w:rPr>
          <w:rFonts w:hint="eastAsia"/>
        </w:rPr>
        <w:t>（2）上述表格分政府融资平台公司和企业两部分统计。</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3、本项目投标截止时间、开标时间。</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更正内容：</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1、招标文件P11，21.投标文件的签署：21.1投标文件正本一份，电子文件二份(U盘或光盘,并标注投标人名称)，副本份数见招标文件前附表。正本和副本的封面应注明“正本”或“副本”的字样，当正本和副本不一致时，以正本为准。</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2、招标文件P49：</w:t>
      </w:r>
    </w:p>
    <w:p>
      <w:pPr>
        <w:adjustRightInd w:val="0"/>
        <w:snapToGrid w:val="0"/>
        <w:spacing w:beforeLines="50" w:line="360" w:lineRule="auto"/>
        <w:rPr>
          <w:rFonts w:ascii="宋体" w:hAnsi="宋体" w:cs="楷体_GB2312"/>
          <w:szCs w:val="21"/>
        </w:rPr>
      </w:pPr>
      <w:r>
        <w:rPr>
          <w:rFonts w:hint="eastAsia" w:ascii="宋体" w:hAnsi="宋体" w:cs="楷体_GB2312"/>
          <w:szCs w:val="21"/>
        </w:rPr>
        <w:t>5.贷款资金余额统计表格(可另附页)：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226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75" w:type="dxa"/>
            <w:shd w:val="clear" w:color="auto" w:fill="auto"/>
            <w:vAlign w:val="center"/>
          </w:tcPr>
          <w:p>
            <w:pPr>
              <w:jc w:val="center"/>
              <w:rPr>
                <w:szCs w:val="21"/>
              </w:rPr>
            </w:pPr>
            <w:r>
              <w:rPr>
                <w:rFonts w:hint="eastAsia"/>
                <w:szCs w:val="21"/>
              </w:rPr>
              <w:t>序号</w:t>
            </w:r>
          </w:p>
        </w:tc>
        <w:tc>
          <w:tcPr>
            <w:tcW w:w="1560" w:type="dxa"/>
            <w:shd w:val="clear" w:color="auto" w:fill="auto"/>
            <w:vAlign w:val="center"/>
          </w:tcPr>
          <w:p>
            <w:pPr>
              <w:jc w:val="center"/>
              <w:rPr>
                <w:szCs w:val="21"/>
              </w:rPr>
            </w:pPr>
            <w:r>
              <w:rPr>
                <w:rFonts w:hint="eastAsia"/>
                <w:szCs w:val="21"/>
              </w:rPr>
              <w:t>银行名称（具体贷款的分支机构名称）</w:t>
            </w:r>
          </w:p>
        </w:tc>
        <w:tc>
          <w:tcPr>
            <w:tcW w:w="1984" w:type="dxa"/>
            <w:shd w:val="clear" w:color="auto" w:fill="auto"/>
            <w:vAlign w:val="center"/>
          </w:tcPr>
          <w:p>
            <w:pPr>
              <w:jc w:val="center"/>
              <w:rPr>
                <w:szCs w:val="21"/>
              </w:rPr>
            </w:pPr>
            <w:r>
              <w:rPr>
                <w:rFonts w:hint="eastAsia"/>
                <w:szCs w:val="21"/>
              </w:rPr>
              <w:t>贷款单位名称</w:t>
            </w:r>
          </w:p>
        </w:tc>
        <w:tc>
          <w:tcPr>
            <w:tcW w:w="2268" w:type="dxa"/>
            <w:shd w:val="clear" w:color="auto" w:fill="auto"/>
            <w:vAlign w:val="center"/>
          </w:tcPr>
          <w:p>
            <w:pPr>
              <w:jc w:val="center"/>
              <w:rPr>
                <w:color w:val="FF0000"/>
                <w:szCs w:val="21"/>
              </w:rPr>
            </w:pPr>
            <w:r>
              <w:rPr>
                <w:rFonts w:hint="eastAsia"/>
                <w:color w:val="FF0000"/>
                <w:szCs w:val="21"/>
              </w:rPr>
              <w:t>借款金额</w:t>
            </w:r>
          </w:p>
        </w:tc>
        <w:tc>
          <w:tcPr>
            <w:tcW w:w="2035" w:type="dxa"/>
            <w:shd w:val="clear" w:color="auto" w:fill="auto"/>
            <w:vAlign w:val="center"/>
          </w:tcPr>
          <w:p>
            <w:pPr>
              <w:jc w:val="center"/>
              <w:rPr>
                <w:szCs w:val="21"/>
              </w:rPr>
            </w:pPr>
            <w:r>
              <w:rPr>
                <w:rFonts w:hint="eastAsia"/>
                <w:szCs w:val="21"/>
              </w:rPr>
              <w:t>2017年12月31日止贷款余额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shd w:val="clear" w:color="auto" w:fill="auto"/>
          </w:tcPr>
          <w:p>
            <w:pPr>
              <w:rPr>
                <w:sz w:val="24"/>
                <w:szCs w:val="24"/>
              </w:rPr>
            </w:pPr>
          </w:p>
        </w:tc>
        <w:tc>
          <w:tcPr>
            <w:tcW w:w="1560" w:type="dxa"/>
            <w:shd w:val="clear" w:color="auto" w:fill="auto"/>
          </w:tcPr>
          <w:p>
            <w:pPr>
              <w:rPr>
                <w:sz w:val="24"/>
                <w:szCs w:val="24"/>
              </w:rPr>
            </w:pPr>
          </w:p>
        </w:tc>
        <w:tc>
          <w:tcPr>
            <w:tcW w:w="1984" w:type="dxa"/>
            <w:shd w:val="clear" w:color="auto" w:fill="auto"/>
          </w:tcPr>
          <w:p>
            <w:pPr>
              <w:rPr>
                <w:sz w:val="24"/>
                <w:szCs w:val="24"/>
              </w:rPr>
            </w:pPr>
          </w:p>
        </w:tc>
        <w:tc>
          <w:tcPr>
            <w:tcW w:w="2268" w:type="dxa"/>
            <w:shd w:val="clear" w:color="auto" w:fill="auto"/>
          </w:tcPr>
          <w:p>
            <w:pPr>
              <w:rPr>
                <w:sz w:val="24"/>
                <w:szCs w:val="24"/>
              </w:rPr>
            </w:pPr>
          </w:p>
        </w:tc>
        <w:tc>
          <w:tcPr>
            <w:tcW w:w="2035" w:type="dxa"/>
            <w:shd w:val="clear" w:color="auto" w:fill="auto"/>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19" w:type="dxa"/>
            <w:gridSpan w:val="3"/>
            <w:shd w:val="clear" w:color="auto" w:fill="auto"/>
          </w:tcPr>
          <w:p>
            <w:pPr>
              <w:jc w:val="center"/>
              <w:rPr>
                <w:szCs w:val="21"/>
              </w:rPr>
            </w:pPr>
            <w:r>
              <w:rPr>
                <w:rFonts w:hint="eastAsia"/>
                <w:szCs w:val="21"/>
              </w:rPr>
              <w:t>合计</w:t>
            </w:r>
          </w:p>
        </w:tc>
        <w:tc>
          <w:tcPr>
            <w:tcW w:w="2268" w:type="dxa"/>
            <w:shd w:val="clear" w:color="auto" w:fill="auto"/>
          </w:tcPr>
          <w:p>
            <w:pPr>
              <w:rPr>
                <w:sz w:val="24"/>
                <w:szCs w:val="24"/>
              </w:rPr>
            </w:pPr>
          </w:p>
        </w:tc>
        <w:tc>
          <w:tcPr>
            <w:tcW w:w="2035" w:type="dxa"/>
            <w:shd w:val="clear" w:color="auto" w:fill="auto"/>
          </w:tcPr>
          <w:p>
            <w:pPr>
              <w:rPr>
                <w:sz w:val="24"/>
                <w:szCs w:val="24"/>
              </w:rPr>
            </w:pPr>
          </w:p>
        </w:tc>
      </w:tr>
    </w:tbl>
    <w:p>
      <w:pPr>
        <w:adjustRightInd w:val="0"/>
        <w:snapToGrid w:val="0"/>
        <w:spacing w:beforeLines="50"/>
      </w:pPr>
      <w:r>
        <w:rPr>
          <w:rFonts w:hint="eastAsia"/>
        </w:rPr>
        <w:t>注：（1）附借据或</w:t>
      </w:r>
      <w:r>
        <w:rPr>
          <w:color w:val="FF0000"/>
        </w:rPr>
        <w:t>借款额度使用申请书</w:t>
      </w:r>
      <w:r>
        <w:rPr>
          <w:rFonts w:hint="eastAsia"/>
        </w:rPr>
        <w:t>复印件。</w:t>
      </w:r>
    </w:p>
    <w:p>
      <w:pPr>
        <w:spacing w:line="500" w:lineRule="exact"/>
        <w:rPr>
          <w:rFonts w:asciiTheme="minorEastAsia" w:hAnsiTheme="minorEastAsia"/>
          <w:sz w:val="27"/>
          <w:szCs w:val="27"/>
        </w:rPr>
      </w:pPr>
      <w:r>
        <w:rPr>
          <w:rFonts w:hint="eastAsia"/>
        </w:rPr>
        <w:t>（2）上述表格分政府融资平台公司和企业两部分统计。</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3、本项目投标截止时间、开标时间延期至：2018年12月</w:t>
      </w:r>
      <w:r>
        <w:rPr>
          <w:rFonts w:hint="eastAsia" w:asciiTheme="minorEastAsia" w:hAnsiTheme="minorEastAsia"/>
          <w:sz w:val="27"/>
          <w:szCs w:val="27"/>
          <w:u w:val="single"/>
          <w:lang w:val="en-US" w:eastAsia="zh-CN"/>
        </w:rPr>
        <w:t>24</w:t>
      </w:r>
      <w:r>
        <w:rPr>
          <w:rFonts w:hint="eastAsia" w:asciiTheme="minorEastAsia" w:hAnsiTheme="minorEastAsia"/>
          <w:sz w:val="27"/>
          <w:szCs w:val="27"/>
        </w:rPr>
        <w:t>日上午9:00整（北京时间），投标保证金缴纳截止时间及相关内容顺延。</w:t>
      </w:r>
    </w:p>
    <w:p>
      <w:pPr>
        <w:spacing w:line="500" w:lineRule="exact"/>
        <w:ind w:firstLine="540" w:firstLineChars="200"/>
        <w:rPr>
          <w:rFonts w:asciiTheme="minorEastAsia" w:hAnsiTheme="minorEastAsia"/>
          <w:sz w:val="27"/>
          <w:szCs w:val="27"/>
        </w:rPr>
      </w:pPr>
      <w:bookmarkStart w:id="0" w:name="_GoBack"/>
      <w:bookmarkEnd w:id="0"/>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招标文件中的相关内容做相应修改，其他内容不变。</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供应商认为本更正内容存在歧视性的，应在更正公告发布之日起七个工作日内以书面形式向本代理机构提出。</w:t>
      </w:r>
    </w:p>
    <w:p>
      <w:pPr>
        <w:spacing w:line="500" w:lineRule="exact"/>
        <w:ind w:firstLine="542" w:firstLineChars="200"/>
        <w:rPr>
          <w:rFonts w:asciiTheme="minorEastAsia" w:hAnsiTheme="minorEastAsia"/>
          <w:b/>
          <w:sz w:val="27"/>
          <w:szCs w:val="27"/>
        </w:rPr>
      </w:pPr>
      <w:r>
        <w:rPr>
          <w:rFonts w:hint="eastAsia" w:asciiTheme="minorEastAsia" w:hAnsiTheme="minorEastAsia"/>
          <w:b/>
          <w:sz w:val="27"/>
          <w:szCs w:val="27"/>
        </w:rPr>
        <w:t>采购项目联系人姓名和电话：</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采购人：长沙市雨花区财政局</w:t>
      </w:r>
    </w:p>
    <w:p>
      <w:pPr>
        <w:spacing w:line="500" w:lineRule="exact"/>
        <w:ind w:firstLine="1620" w:firstLineChars="600"/>
        <w:rPr>
          <w:rFonts w:asciiTheme="minorEastAsia" w:hAnsiTheme="minorEastAsia"/>
          <w:sz w:val="27"/>
          <w:szCs w:val="27"/>
        </w:rPr>
      </w:pPr>
      <w:r>
        <w:rPr>
          <w:rFonts w:hint="eastAsia" w:asciiTheme="minorEastAsia" w:hAnsiTheme="minorEastAsia"/>
          <w:sz w:val="27"/>
          <w:szCs w:val="27"/>
        </w:rPr>
        <w:t>长沙市雨花区人力资源和社会保障局</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 xml:space="preserve">地  址：长沙市雨花区政府大院内 </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联系人：钟坤</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电  话：0731-85880159</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 xml:space="preserve">采购代理机构：湖南信元工程项目管理有限公司 </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地        址：长沙市雨花区湘府东路108号水岸天际1栋915</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联   系   人：杨先生、张女士</w:t>
      </w:r>
    </w:p>
    <w:p>
      <w:pPr>
        <w:spacing w:line="500" w:lineRule="exact"/>
        <w:ind w:firstLine="540" w:firstLineChars="200"/>
        <w:rPr>
          <w:rFonts w:asciiTheme="minorEastAsia" w:hAnsiTheme="minorEastAsia"/>
          <w:sz w:val="27"/>
          <w:szCs w:val="27"/>
        </w:rPr>
      </w:pPr>
      <w:r>
        <w:rPr>
          <w:rFonts w:hint="eastAsia" w:asciiTheme="minorEastAsia" w:hAnsiTheme="minorEastAsia"/>
          <w:sz w:val="27"/>
          <w:szCs w:val="27"/>
        </w:rPr>
        <w:t>电        话：0731-84430086</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601F"/>
    <w:rsid w:val="000F260B"/>
    <w:rsid w:val="00130482"/>
    <w:rsid w:val="00152149"/>
    <w:rsid w:val="001A7A2B"/>
    <w:rsid w:val="001B464A"/>
    <w:rsid w:val="001F6D5A"/>
    <w:rsid w:val="00352A38"/>
    <w:rsid w:val="00373604"/>
    <w:rsid w:val="003F237B"/>
    <w:rsid w:val="004A432C"/>
    <w:rsid w:val="004B2217"/>
    <w:rsid w:val="006B601F"/>
    <w:rsid w:val="00725D06"/>
    <w:rsid w:val="00744A2C"/>
    <w:rsid w:val="00784A6C"/>
    <w:rsid w:val="008D7A3B"/>
    <w:rsid w:val="009630F4"/>
    <w:rsid w:val="00984A61"/>
    <w:rsid w:val="009D2564"/>
    <w:rsid w:val="00A3273F"/>
    <w:rsid w:val="00A92077"/>
    <w:rsid w:val="00B360FB"/>
    <w:rsid w:val="00BE6B44"/>
    <w:rsid w:val="00BF2FC8"/>
    <w:rsid w:val="00C05E56"/>
    <w:rsid w:val="00C21066"/>
    <w:rsid w:val="00CA1B2E"/>
    <w:rsid w:val="00D45366"/>
    <w:rsid w:val="00D93D42"/>
    <w:rsid w:val="00D97200"/>
    <w:rsid w:val="00E26127"/>
    <w:rsid w:val="00E95309"/>
    <w:rsid w:val="00EA5D42"/>
    <w:rsid w:val="00EE3C3C"/>
    <w:rsid w:val="00F01A19"/>
    <w:rsid w:val="00F049A0"/>
    <w:rsid w:val="00F06DD9"/>
    <w:rsid w:val="00FB4706"/>
    <w:rsid w:val="1A6743CE"/>
    <w:rsid w:val="6E03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纯文本 Char"/>
    <w:link w:val="2"/>
    <w:qFormat/>
    <w:locked/>
    <w:uiPriority w:val="0"/>
    <w:rPr>
      <w:rFonts w:ascii="宋体" w:hAnsi="Courier New" w:eastAsia="宋体" w:cs="Courier New"/>
      <w:szCs w:val="21"/>
    </w:rPr>
  </w:style>
  <w:style w:type="character" w:customStyle="1" w:styleId="10">
    <w:name w:val="纯文本 Char1"/>
    <w:basedOn w:val="5"/>
    <w:semiHidden/>
    <w:qFormat/>
    <w:uiPriority w:val="99"/>
    <w:rPr>
      <w:rFonts w:ascii="宋体" w:hAnsi="Courier New" w:eastAsia="宋体" w:cs="Courier New"/>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149</Words>
  <Characters>851</Characters>
  <Lines>7</Lines>
  <Paragraphs>1</Paragraphs>
  <TotalTime>67</TotalTime>
  <ScaleCrop>false</ScaleCrop>
  <LinksUpToDate>false</LinksUpToDate>
  <CharactersWithSpaces>999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2018-06-19T09:00:00Z</dcterms:created>
  <dc:creator>Administrator</dc:creator>
  <cp:lastModifiedBy>Administrator</cp:lastModifiedBy>
  <cp:lastPrinted>2018-11-27T03:27:00Z</cp:lastPrinted>
  <dcterms:modified xsi:type="dcterms:W3CDTF">2018-12-04T08:10:10Z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