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adjustRightInd w:val="0"/>
        <w:snapToGrid w:val="0"/>
        <w:spacing w:line="800" w:lineRule="exact"/>
        <w:jc w:val="center"/>
        <w:rPr>
          <w:rFonts w:hint="eastAsia" w:ascii="仿宋_GB2312" w:hAnsi="仿宋_GB2312" w:eastAsia="仿宋_GB2312" w:cs="仿宋_GB2312"/>
          <w:b/>
          <w:color w:val="auto"/>
          <w:sz w:val="84"/>
          <w:szCs w:val="84"/>
          <w:highlight w:val="none"/>
        </w:rPr>
      </w:pPr>
    </w:p>
    <w:p>
      <w:pPr>
        <w:pStyle w:val="9"/>
        <w:adjustRightInd w:val="0"/>
        <w:snapToGrid w:val="0"/>
        <w:spacing w:line="800" w:lineRule="exact"/>
        <w:jc w:val="center"/>
        <w:rPr>
          <w:rFonts w:hint="eastAsia" w:ascii="仿宋_GB2312" w:hAnsi="仿宋_GB2312" w:eastAsia="仿宋_GB2312" w:cs="仿宋_GB2312"/>
          <w:b/>
          <w:color w:val="auto"/>
          <w:sz w:val="84"/>
          <w:szCs w:val="84"/>
          <w:highlight w:val="none"/>
        </w:rPr>
      </w:pPr>
    </w:p>
    <w:p>
      <w:pPr>
        <w:pStyle w:val="9"/>
        <w:jc w:val="center"/>
        <w:rPr>
          <w:rFonts w:hint="eastAsia" w:ascii="仿宋_GB2312" w:hAnsi="仿宋_GB2312" w:eastAsia="仿宋_GB2312" w:cs="仿宋_GB2312"/>
          <w:b/>
          <w:bCs/>
          <w:color w:val="auto"/>
          <w:sz w:val="84"/>
          <w:szCs w:val="84"/>
          <w:highlight w:val="none"/>
        </w:rPr>
      </w:pPr>
      <w:r>
        <w:rPr>
          <w:rFonts w:hint="eastAsia" w:ascii="仿宋_GB2312" w:hAnsi="仿宋_GB2312" w:eastAsia="仿宋_GB2312" w:cs="仿宋_GB2312"/>
          <w:b/>
          <w:color w:val="auto"/>
          <w:sz w:val="84"/>
          <w:szCs w:val="84"/>
          <w:highlight w:val="none"/>
        </w:rPr>
        <w:t>政府采购</w:t>
      </w:r>
    </w:p>
    <w:p>
      <w:pPr>
        <w:pStyle w:val="9"/>
        <w:adjustRightInd w:val="0"/>
        <w:snapToGrid w:val="0"/>
        <w:spacing w:line="360" w:lineRule="auto"/>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84"/>
          <w:szCs w:val="84"/>
          <w:highlight w:val="none"/>
        </w:rPr>
        <w:t>竞争性磋商文件</w:t>
      </w:r>
    </w:p>
    <w:p>
      <w:pPr>
        <w:pStyle w:val="9"/>
        <w:adjustRightInd w:val="0"/>
        <w:snapToGrid w:val="0"/>
        <w:spacing w:beforeLines="50" w:line="360" w:lineRule="auto"/>
        <w:jc w:val="center"/>
        <w:rPr>
          <w:rFonts w:hint="eastAsia" w:ascii="仿宋_GB2312" w:hAnsi="仿宋_GB2312" w:eastAsia="仿宋_GB2312" w:cs="仿宋_GB2312"/>
          <w:b/>
          <w:color w:val="auto"/>
          <w:sz w:val="32"/>
          <w:szCs w:val="32"/>
          <w:highlight w:val="none"/>
        </w:rPr>
      </w:pPr>
    </w:p>
    <w:p>
      <w:pPr>
        <w:pStyle w:val="9"/>
        <w:adjustRightInd w:val="0"/>
        <w:snapToGrid w:val="0"/>
        <w:spacing w:beforeLines="50" w:line="360" w:lineRule="auto"/>
        <w:jc w:val="center"/>
        <w:rPr>
          <w:rFonts w:hint="eastAsia" w:ascii="仿宋_GB2312" w:hAnsi="仿宋_GB2312" w:eastAsia="仿宋_GB2312" w:cs="仿宋_GB2312"/>
          <w:b/>
          <w:color w:val="auto"/>
          <w:sz w:val="32"/>
          <w:szCs w:val="32"/>
          <w:highlight w:val="none"/>
        </w:rPr>
      </w:pPr>
    </w:p>
    <w:p>
      <w:pPr>
        <w:pStyle w:val="9"/>
        <w:adjustRightInd w:val="0"/>
        <w:snapToGrid w:val="0"/>
        <w:spacing w:beforeLines="50" w:line="360" w:lineRule="auto"/>
        <w:jc w:val="center"/>
        <w:rPr>
          <w:rFonts w:hint="eastAsia" w:ascii="仿宋_GB2312" w:hAnsi="仿宋_GB2312" w:eastAsia="仿宋_GB2312" w:cs="仿宋_GB2312"/>
          <w:b/>
          <w:color w:val="auto"/>
          <w:sz w:val="32"/>
          <w:szCs w:val="32"/>
          <w:highlight w:val="none"/>
        </w:rPr>
      </w:pPr>
    </w:p>
    <w:p>
      <w:pPr>
        <w:pStyle w:val="9"/>
        <w:adjustRightInd w:val="0"/>
        <w:snapToGrid w:val="0"/>
        <w:spacing w:line="360" w:lineRule="auto"/>
        <w:ind w:firstLine="1257" w:firstLineChars="393"/>
        <w:rPr>
          <w:rFonts w:hint="eastAsia" w:ascii="仿宋_GB2312" w:hAnsi="仿宋_GB2312" w:eastAsia="仿宋_GB2312" w:cs="仿宋_GB2312"/>
          <w:b w:val="0"/>
          <w:bCs w:val="0"/>
          <w:color w:val="auto"/>
          <w:sz w:val="32"/>
          <w:szCs w:val="32"/>
          <w:highlight w:val="none"/>
          <w:u w:val="single"/>
          <w:lang w:eastAsia="zh-CN"/>
        </w:rPr>
      </w:pPr>
      <w:r>
        <w:rPr>
          <w:rFonts w:hint="eastAsia" w:ascii="仿宋_GB2312" w:hAnsi="仿宋_GB2312" w:eastAsia="仿宋_GB2312" w:cs="仿宋_GB2312"/>
          <w:color w:val="auto"/>
          <w:sz w:val="32"/>
          <w:szCs w:val="32"/>
          <w:highlight w:val="none"/>
        </w:rPr>
        <w:t>采购项目名称:</w:t>
      </w:r>
      <w:r>
        <w:rPr>
          <w:rFonts w:hint="eastAsia" w:ascii="仿宋_GB2312" w:hAnsi="仿宋_GB2312" w:eastAsia="仿宋_GB2312" w:cs="仿宋_GB2312"/>
          <w:b w:val="0"/>
          <w:bCs w:val="0"/>
          <w:color w:val="auto"/>
          <w:sz w:val="32"/>
          <w:szCs w:val="32"/>
          <w:highlight w:val="none"/>
          <w:u w:val="single"/>
          <w:lang w:eastAsia="zh-CN"/>
        </w:rPr>
        <w:t>湖南金融中心三维演示系统（二期）</w:t>
      </w:r>
    </w:p>
    <w:p>
      <w:pPr>
        <w:pStyle w:val="9"/>
        <w:adjustRightInd w:val="0"/>
        <w:snapToGrid w:val="0"/>
        <w:spacing w:line="360" w:lineRule="auto"/>
        <w:ind w:left="0" w:leftChars="0" w:firstLine="3360" w:firstLineChars="1050"/>
        <w:rPr>
          <w:rFonts w:hint="eastAsia" w:ascii="仿宋_GB2312" w:hAnsi="仿宋_GB2312" w:eastAsia="仿宋_GB2312" w:cs="仿宋_GB2312"/>
          <w:b w:val="0"/>
          <w:bCs w:val="0"/>
          <w:color w:val="auto"/>
          <w:sz w:val="32"/>
          <w:szCs w:val="32"/>
          <w:highlight w:val="none"/>
          <w:u w:val="single"/>
        </w:rPr>
      </w:pPr>
      <w:r>
        <w:rPr>
          <w:rFonts w:hint="eastAsia" w:ascii="仿宋_GB2312" w:hAnsi="仿宋_GB2312" w:eastAsia="仿宋_GB2312" w:cs="仿宋_GB2312"/>
          <w:b w:val="0"/>
          <w:bCs w:val="0"/>
          <w:color w:val="auto"/>
          <w:sz w:val="32"/>
          <w:szCs w:val="32"/>
          <w:highlight w:val="none"/>
          <w:u w:val="single"/>
          <w:lang w:eastAsia="zh-CN"/>
        </w:rPr>
        <w:t>更新项目</w:t>
      </w:r>
    </w:p>
    <w:p>
      <w:pPr>
        <w:pStyle w:val="9"/>
        <w:adjustRightInd w:val="0"/>
        <w:snapToGrid w:val="0"/>
        <w:spacing w:line="360" w:lineRule="auto"/>
        <w:ind w:firstLine="1257" w:firstLineChars="393"/>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采   购   人:</w:t>
      </w:r>
      <w:r>
        <w:rPr>
          <w:rFonts w:hint="eastAsia" w:ascii="仿宋_GB2312" w:hAnsi="仿宋_GB2312" w:eastAsia="仿宋_GB2312" w:cs="仿宋_GB2312"/>
          <w:color w:val="auto"/>
          <w:sz w:val="32"/>
          <w:szCs w:val="32"/>
          <w:highlight w:val="none"/>
          <w:u w:val="single"/>
          <w:lang w:eastAsia="zh-CN"/>
        </w:rPr>
        <w:t>湖南湘江新区管理委员会财政局</w:t>
      </w:r>
    </w:p>
    <w:p>
      <w:pPr>
        <w:pStyle w:val="9"/>
        <w:adjustRightInd w:val="0"/>
        <w:snapToGrid w:val="0"/>
        <w:spacing w:line="360" w:lineRule="auto"/>
        <w:ind w:firstLine="1257" w:firstLineChars="393"/>
        <w:rPr>
          <w:rFonts w:hint="eastAsia" w:ascii="仿宋_GB2312" w:hAnsi="仿宋_GB2312" w:eastAsia="仿宋_GB2312" w:cs="仿宋_GB2312"/>
          <w:color w:val="auto"/>
          <w:sz w:val="32"/>
          <w:szCs w:val="32"/>
          <w:highlight w:val="none"/>
          <w:u w:val="single"/>
          <w:lang w:eastAsia="zh-CN"/>
        </w:rPr>
      </w:pPr>
      <w:r>
        <w:rPr>
          <w:rFonts w:hint="eastAsia" w:ascii="仿宋_GB2312" w:hAnsi="仿宋_GB2312" w:eastAsia="仿宋_GB2312" w:cs="仿宋_GB2312"/>
          <w:color w:val="auto"/>
          <w:sz w:val="32"/>
          <w:szCs w:val="32"/>
          <w:highlight w:val="none"/>
        </w:rPr>
        <w:t>政府采购编号:</w:t>
      </w:r>
      <w:r>
        <w:rPr>
          <w:rFonts w:hint="eastAsia" w:ascii="仿宋_GB2312" w:hAnsi="仿宋_GB2312" w:eastAsia="仿宋_GB2312" w:cs="仿宋_GB2312"/>
          <w:color w:val="auto"/>
          <w:sz w:val="32"/>
          <w:szCs w:val="32"/>
          <w:highlight w:val="none"/>
          <w:u w:val="single"/>
          <w:lang w:eastAsia="zh-CN"/>
        </w:rPr>
        <w:t>湘新财采计—JC201811003</w:t>
      </w:r>
    </w:p>
    <w:p>
      <w:pPr>
        <w:pStyle w:val="9"/>
        <w:adjustRightInd w:val="0"/>
        <w:snapToGrid w:val="0"/>
        <w:spacing w:line="360" w:lineRule="auto"/>
        <w:ind w:firstLine="1257" w:firstLineChars="393"/>
        <w:rPr>
          <w:rFonts w:hint="eastAsia" w:ascii="仿宋_GB2312" w:hAnsi="仿宋_GB2312" w:eastAsia="仿宋_GB2312" w:cs="仿宋_GB2312"/>
          <w:color w:val="auto"/>
          <w:sz w:val="32"/>
          <w:szCs w:val="32"/>
          <w:highlight w:val="none"/>
          <w:u w:val="single"/>
          <w:lang w:eastAsia="zh-CN"/>
        </w:rPr>
      </w:pPr>
      <w:r>
        <w:rPr>
          <w:rFonts w:hint="eastAsia" w:ascii="仿宋_GB2312" w:hAnsi="仿宋_GB2312" w:eastAsia="仿宋_GB2312" w:cs="仿宋_GB2312"/>
          <w:color w:val="auto"/>
          <w:sz w:val="32"/>
          <w:szCs w:val="32"/>
          <w:highlight w:val="none"/>
        </w:rPr>
        <w:t>委托代理编号:</w:t>
      </w:r>
      <w:r>
        <w:rPr>
          <w:rFonts w:hint="eastAsia" w:ascii="仿宋_GB2312" w:hAnsi="仿宋_GB2312" w:eastAsia="仿宋_GB2312" w:cs="仿宋_GB2312"/>
          <w:color w:val="auto"/>
          <w:sz w:val="32"/>
          <w:szCs w:val="32"/>
          <w:highlight w:val="none"/>
          <w:u w:val="single"/>
          <w:lang w:eastAsia="zh-CN"/>
        </w:rPr>
        <w:t>HNTFCG20181007</w:t>
      </w:r>
    </w:p>
    <w:p>
      <w:pPr>
        <w:pStyle w:val="9"/>
        <w:adjustRightInd w:val="0"/>
        <w:snapToGrid w:val="0"/>
        <w:spacing w:line="360" w:lineRule="auto"/>
        <w:ind w:firstLine="1257" w:firstLineChars="393"/>
        <w:rPr>
          <w:rFonts w:hint="eastAsia" w:ascii="仿宋_GB2312" w:hAnsi="仿宋_GB2312" w:eastAsia="仿宋_GB2312" w:cs="仿宋_GB2312"/>
          <w:b/>
          <w:color w:val="auto"/>
          <w:sz w:val="32"/>
          <w:highlight w:val="none"/>
        </w:rPr>
      </w:pPr>
      <w:r>
        <w:rPr>
          <w:rFonts w:hint="eastAsia" w:ascii="仿宋_GB2312" w:hAnsi="仿宋_GB2312" w:eastAsia="仿宋_GB2312" w:cs="仿宋_GB2312"/>
          <w:color w:val="auto"/>
          <w:sz w:val="32"/>
          <w:szCs w:val="32"/>
          <w:highlight w:val="none"/>
        </w:rPr>
        <w:t>采购代理机构:</w:t>
      </w:r>
      <w:r>
        <w:rPr>
          <w:rFonts w:hint="eastAsia" w:ascii="仿宋_GB2312" w:hAnsi="仿宋_GB2312" w:eastAsia="仿宋_GB2312" w:cs="仿宋_GB2312"/>
          <w:color w:val="auto"/>
          <w:sz w:val="32"/>
          <w:szCs w:val="32"/>
          <w:highlight w:val="none"/>
          <w:u w:val="single"/>
        </w:rPr>
        <w:t>湖南天福项目管理有限公司</w:t>
      </w:r>
    </w:p>
    <w:p>
      <w:pPr>
        <w:pStyle w:val="9"/>
        <w:adjustRightInd w:val="0"/>
        <w:snapToGrid w:val="0"/>
        <w:spacing w:line="360" w:lineRule="auto"/>
        <w:jc w:val="center"/>
        <w:rPr>
          <w:rFonts w:hint="eastAsia" w:ascii="仿宋_GB2312" w:hAnsi="仿宋_GB2312" w:eastAsia="仿宋_GB2312" w:cs="仿宋_GB2312"/>
          <w:b/>
          <w:color w:val="auto"/>
          <w:sz w:val="32"/>
          <w:highlight w:val="none"/>
        </w:rPr>
      </w:pPr>
    </w:p>
    <w:p>
      <w:pPr>
        <w:pStyle w:val="9"/>
        <w:adjustRightInd w:val="0"/>
        <w:snapToGrid w:val="0"/>
        <w:spacing w:line="360" w:lineRule="auto"/>
        <w:jc w:val="center"/>
        <w:rPr>
          <w:rFonts w:hint="eastAsia" w:ascii="仿宋_GB2312" w:hAnsi="仿宋_GB2312" w:eastAsia="仿宋_GB2312" w:cs="仿宋_GB2312"/>
          <w:b/>
          <w:color w:val="auto"/>
          <w:sz w:val="32"/>
          <w:highlight w:val="none"/>
        </w:rPr>
      </w:pPr>
    </w:p>
    <w:p>
      <w:pPr>
        <w:pStyle w:val="9"/>
        <w:adjustRightInd w:val="0"/>
        <w:snapToGrid w:val="0"/>
        <w:spacing w:line="360" w:lineRule="auto"/>
        <w:jc w:val="center"/>
        <w:rPr>
          <w:rFonts w:hint="eastAsia" w:ascii="仿宋_GB2312" w:hAnsi="仿宋_GB2312" w:eastAsia="仿宋_GB2312" w:cs="仿宋_GB2312"/>
          <w:b/>
          <w:color w:val="auto"/>
          <w:sz w:val="32"/>
          <w:highlight w:val="none"/>
        </w:rPr>
      </w:pPr>
    </w:p>
    <w:p>
      <w:pPr>
        <w:jc w:val="center"/>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color w:val="auto"/>
          <w:sz w:val="32"/>
          <w:highlight w:val="none"/>
        </w:rPr>
        <w:t>2018年11月</w:t>
      </w:r>
    </w:p>
    <w:p>
      <w:pPr>
        <w:pStyle w:val="9"/>
        <w:adjustRightInd w:val="0"/>
        <w:snapToGrid w:val="0"/>
        <w:spacing w:line="360" w:lineRule="auto"/>
        <w:jc w:val="center"/>
        <w:rPr>
          <w:rFonts w:hint="eastAsia" w:ascii="仿宋_GB2312" w:hAnsi="仿宋_GB2312" w:eastAsia="仿宋_GB2312" w:cs="仿宋_GB2312"/>
          <w:color w:val="auto"/>
          <w:spacing w:val="160"/>
          <w:sz w:val="36"/>
          <w:szCs w:val="36"/>
          <w:highlight w:val="none"/>
        </w:rPr>
        <w:sectPr>
          <w:headerReference r:id="rId3" w:type="default"/>
          <w:footerReference r:id="rId4" w:type="default"/>
          <w:pgSz w:w="11906" w:h="16838"/>
          <w:pgMar w:top="1440" w:right="1531" w:bottom="1440" w:left="1531" w:header="851" w:footer="992" w:gutter="0"/>
          <w:pgNumType w:start="1"/>
          <w:cols w:space="720" w:num="1"/>
          <w:docGrid w:type="lines" w:linePitch="312" w:charSpace="0"/>
        </w:sectPr>
      </w:pPr>
    </w:p>
    <w:p>
      <w:pPr>
        <w:pStyle w:val="9"/>
        <w:adjustRightInd w:val="0"/>
        <w:snapToGrid w:val="0"/>
        <w:spacing w:line="360" w:lineRule="auto"/>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pacing w:val="160"/>
          <w:sz w:val="36"/>
          <w:szCs w:val="36"/>
          <w:highlight w:val="none"/>
        </w:rPr>
        <w:t>目录</w:t>
      </w:r>
    </w:p>
    <w:p>
      <w:pPr>
        <w:pStyle w:val="9"/>
        <w:adjustRightInd w:val="0"/>
        <w:snapToGrid w:val="0"/>
        <w:spacing w:line="360" w:lineRule="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第一章  磋商邀请</w:t>
      </w:r>
    </w:p>
    <w:p>
      <w:pPr>
        <w:pStyle w:val="9"/>
        <w:adjustRightInd w:val="0"/>
        <w:snapToGrid w:val="0"/>
        <w:spacing w:line="360" w:lineRule="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第二章  磋商须知</w:t>
      </w:r>
    </w:p>
    <w:p>
      <w:pPr>
        <w:tabs>
          <w:tab w:val="left" w:pos="1440"/>
        </w:tabs>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磋商须知前附表</w:t>
      </w:r>
    </w:p>
    <w:p>
      <w:pPr>
        <w:tabs>
          <w:tab w:val="left" w:pos="1440"/>
        </w:tabs>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磋商须知正文</w:t>
      </w:r>
    </w:p>
    <w:p>
      <w:pPr>
        <w:numPr>
          <w:ilvl w:val="0"/>
          <w:numId w:val="2"/>
        </w:numPr>
        <w:tabs>
          <w:tab w:val="left" w:pos="1440"/>
        </w:tabs>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说明</w:t>
      </w:r>
    </w:p>
    <w:p>
      <w:pPr>
        <w:numPr>
          <w:ilvl w:val="0"/>
          <w:numId w:val="2"/>
        </w:numPr>
        <w:tabs>
          <w:tab w:val="left" w:pos="1440"/>
        </w:tabs>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bCs/>
          <w:color w:val="auto"/>
          <w:szCs w:val="21"/>
          <w:highlight w:val="none"/>
        </w:rPr>
        <w:t>磋商</w:t>
      </w:r>
      <w:r>
        <w:rPr>
          <w:rFonts w:hint="eastAsia" w:ascii="仿宋_GB2312" w:hAnsi="仿宋_GB2312" w:eastAsia="仿宋_GB2312" w:cs="仿宋_GB2312"/>
          <w:color w:val="auto"/>
          <w:szCs w:val="21"/>
          <w:highlight w:val="none"/>
        </w:rPr>
        <w:t>文件</w:t>
      </w:r>
    </w:p>
    <w:p>
      <w:pPr>
        <w:numPr>
          <w:ilvl w:val="0"/>
          <w:numId w:val="2"/>
        </w:num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响应文件</w:t>
      </w:r>
    </w:p>
    <w:p>
      <w:pPr>
        <w:numPr>
          <w:ilvl w:val="0"/>
          <w:numId w:val="2"/>
        </w:num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响应文件的递交</w:t>
      </w:r>
    </w:p>
    <w:p>
      <w:pPr>
        <w:numPr>
          <w:ilvl w:val="0"/>
          <w:numId w:val="2"/>
        </w:numPr>
        <w:adjustRightInd w:val="0"/>
        <w:snapToGrid w:val="0"/>
        <w:spacing w:line="360" w:lineRule="auto"/>
        <w:ind w:firstLine="48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 w:val="24"/>
          <w:highlight w:val="none"/>
        </w:rPr>
        <w:t>响应文件的磋商与评审</w:t>
      </w:r>
    </w:p>
    <w:p>
      <w:pPr>
        <w:numPr>
          <w:ilvl w:val="0"/>
          <w:numId w:val="2"/>
        </w:numPr>
        <w:adjustRightInd w:val="0"/>
        <w:snapToGrid w:val="0"/>
        <w:spacing w:line="360" w:lineRule="auto"/>
        <w:ind w:firstLine="48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 w:val="24"/>
          <w:highlight w:val="none"/>
        </w:rPr>
        <w:t>成交结果信息公布与授予合同</w:t>
      </w:r>
    </w:p>
    <w:p>
      <w:pPr>
        <w:numPr>
          <w:ilvl w:val="0"/>
          <w:numId w:val="2"/>
        </w:num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其他规定</w:t>
      </w:r>
    </w:p>
    <w:p>
      <w:pPr>
        <w:adjustRightInd w:val="0"/>
        <w:snapToGrid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第三章  采购需求</w:t>
      </w:r>
    </w:p>
    <w:p>
      <w:pPr>
        <w:adjustRightInd w:val="0"/>
        <w:snapToGrid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第四章  政府采购合同格式</w:t>
      </w:r>
    </w:p>
    <w:p>
      <w:pPr>
        <w:pStyle w:val="9"/>
        <w:adjustRightInd w:val="0"/>
        <w:snapToGrid w:val="0"/>
        <w:spacing w:line="360" w:lineRule="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第五章  </w:t>
      </w:r>
      <w:r>
        <w:rPr>
          <w:rFonts w:hint="eastAsia" w:ascii="仿宋_GB2312" w:hAnsi="仿宋_GB2312" w:eastAsia="仿宋_GB2312" w:cs="仿宋_GB2312"/>
          <w:b/>
          <w:color w:val="auto"/>
          <w:sz w:val="24"/>
          <w:highlight w:val="none"/>
        </w:rPr>
        <w:t>响应文件组成</w:t>
      </w:r>
    </w:p>
    <w:p>
      <w:pPr>
        <w:adjustRightInd w:val="0"/>
        <w:snapToGrid w:val="0"/>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br w:type="page"/>
      </w:r>
      <w:r>
        <w:rPr>
          <w:rFonts w:hint="eastAsia" w:ascii="仿宋_GB2312" w:hAnsi="仿宋_GB2312" w:eastAsia="仿宋_GB2312" w:cs="仿宋_GB2312"/>
          <w:b/>
          <w:color w:val="auto"/>
          <w:sz w:val="32"/>
          <w:szCs w:val="32"/>
          <w:highlight w:val="none"/>
        </w:rPr>
        <w:t>第一章 磋商邀请</w:t>
      </w:r>
    </w:p>
    <w:p>
      <w:pPr>
        <w:adjustRightInd w:val="0"/>
        <w:snapToGrid w:val="0"/>
        <w:spacing w:line="520" w:lineRule="exact"/>
        <w:ind w:firstLine="518" w:firstLineChars="216"/>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rPr>
        <w:t>湖南天福项目管理有限公司</w:t>
      </w:r>
      <w:r>
        <w:rPr>
          <w:rFonts w:hint="eastAsia" w:ascii="仿宋_GB2312" w:hAnsi="仿宋_GB2312" w:eastAsia="仿宋_GB2312" w:cs="仿宋_GB2312"/>
          <w:color w:val="auto"/>
          <w:sz w:val="24"/>
          <w:highlight w:val="none"/>
        </w:rPr>
        <w:t>受</w:t>
      </w:r>
      <w:r>
        <w:rPr>
          <w:rFonts w:hint="eastAsia" w:ascii="仿宋_GB2312" w:hAnsi="仿宋_GB2312" w:eastAsia="仿宋_GB2312" w:cs="仿宋_GB2312"/>
          <w:color w:val="auto"/>
          <w:sz w:val="24"/>
          <w:highlight w:val="none"/>
          <w:u w:val="single"/>
          <w:lang w:eastAsia="zh-CN"/>
        </w:rPr>
        <w:t>湖南湘江新区管理委员会财政局</w:t>
      </w:r>
      <w:r>
        <w:rPr>
          <w:rFonts w:hint="eastAsia" w:ascii="仿宋_GB2312" w:hAnsi="仿宋_GB2312" w:eastAsia="仿宋_GB2312" w:cs="仿宋_GB2312"/>
          <w:color w:val="auto"/>
          <w:sz w:val="24"/>
          <w:highlight w:val="none"/>
        </w:rPr>
        <w:t>的委托，对</w:t>
      </w:r>
      <w:r>
        <w:rPr>
          <w:rFonts w:hint="eastAsia" w:ascii="仿宋_GB2312" w:hAnsi="仿宋_GB2312" w:eastAsia="仿宋_GB2312" w:cs="仿宋_GB2312"/>
          <w:color w:val="auto"/>
          <w:sz w:val="24"/>
          <w:highlight w:val="none"/>
          <w:u w:val="single"/>
          <w:lang w:eastAsia="zh-CN"/>
        </w:rPr>
        <w:t>湖南湘江新区管理委员会财政局湖南金融中心三维演示系统（二期）更新项目</w:t>
      </w:r>
      <w:r>
        <w:rPr>
          <w:rFonts w:hint="eastAsia" w:ascii="仿宋_GB2312" w:hAnsi="仿宋_GB2312" w:eastAsia="仿宋_GB2312" w:cs="仿宋_GB2312"/>
          <w:color w:val="auto"/>
          <w:sz w:val="24"/>
          <w:highlight w:val="none"/>
        </w:rPr>
        <w:t>进行竞争性磋商采购，现采用</w:t>
      </w:r>
      <w:r>
        <w:rPr>
          <w:rFonts w:hint="eastAsia" w:ascii="仿宋_GB2312" w:hAnsi="仿宋_GB2312" w:eastAsia="仿宋_GB2312" w:cs="仿宋_GB2312"/>
          <w:color w:val="auto"/>
          <w:sz w:val="24"/>
          <w:highlight w:val="none"/>
          <w:u w:val="single"/>
        </w:rPr>
        <w:t>发布公告</w:t>
      </w:r>
      <w:r>
        <w:rPr>
          <w:rFonts w:hint="eastAsia" w:ascii="仿宋_GB2312" w:hAnsi="仿宋_GB2312" w:eastAsia="仿宋_GB2312" w:cs="仿宋_GB2312"/>
          <w:color w:val="auto"/>
          <w:sz w:val="24"/>
          <w:highlight w:val="none"/>
        </w:rPr>
        <w:t>的方式，邀请符合资格条件的供应商参与竞争性磋商采购活动。</w:t>
      </w:r>
    </w:p>
    <w:p>
      <w:pPr>
        <w:adjustRightInd w:val="0"/>
        <w:snapToGrid w:val="0"/>
        <w:spacing w:line="520" w:lineRule="exact"/>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一、采购项目基本概况</w:t>
      </w:r>
    </w:p>
    <w:p>
      <w:pPr>
        <w:adjustRightInd w:val="0"/>
        <w:snapToGrid w:val="0"/>
        <w:spacing w:line="520" w:lineRule="exact"/>
        <w:ind w:firstLine="420" w:firstLineChars="175"/>
        <w:rPr>
          <w:rFonts w:hint="eastAsia" w:ascii="仿宋_GB2312" w:hAnsi="仿宋_GB2312" w:eastAsia="仿宋_GB2312" w:cs="仿宋_GB2312"/>
          <w:color w:val="auto"/>
          <w:sz w:val="24"/>
          <w:highlight w:val="none"/>
          <w:u w:val="single"/>
          <w:lang w:eastAsia="zh-CN"/>
        </w:rPr>
      </w:pPr>
      <w:r>
        <w:rPr>
          <w:rFonts w:hint="eastAsia" w:ascii="仿宋_GB2312" w:hAnsi="仿宋_GB2312" w:eastAsia="仿宋_GB2312" w:cs="仿宋_GB2312"/>
          <w:color w:val="auto"/>
          <w:sz w:val="24"/>
          <w:highlight w:val="none"/>
        </w:rPr>
        <w:t>1、采购项目名称：</w:t>
      </w:r>
      <w:r>
        <w:rPr>
          <w:rFonts w:hint="eastAsia" w:ascii="仿宋_GB2312" w:hAnsi="仿宋_GB2312" w:eastAsia="仿宋_GB2312" w:cs="仿宋_GB2312"/>
          <w:color w:val="auto"/>
          <w:sz w:val="24"/>
          <w:highlight w:val="none"/>
          <w:u w:val="single"/>
          <w:lang w:eastAsia="zh-CN"/>
        </w:rPr>
        <w:t>湖南湘江新区管理委员会财政局湖南金融中心三维演示系统（二期）更新项目</w:t>
      </w:r>
    </w:p>
    <w:p>
      <w:pPr>
        <w:adjustRightInd w:val="0"/>
        <w:snapToGrid w:val="0"/>
        <w:spacing w:line="520" w:lineRule="exact"/>
        <w:ind w:firstLine="420" w:firstLineChars="175"/>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2、采购计划编号：</w:t>
      </w:r>
      <w:r>
        <w:rPr>
          <w:rFonts w:hint="eastAsia" w:ascii="仿宋_GB2312" w:hAnsi="仿宋_GB2312" w:eastAsia="仿宋_GB2312" w:cs="仿宋_GB2312"/>
          <w:color w:val="auto"/>
          <w:sz w:val="24"/>
          <w:highlight w:val="none"/>
          <w:u w:val="single"/>
          <w:lang w:eastAsia="zh-CN"/>
        </w:rPr>
        <w:t>湘新财采计—JC201811003</w:t>
      </w:r>
    </w:p>
    <w:p>
      <w:pPr>
        <w:adjustRightInd w:val="0"/>
        <w:snapToGrid w:val="0"/>
        <w:spacing w:line="520" w:lineRule="exact"/>
        <w:ind w:firstLine="420" w:firstLineChars="175"/>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3、委托代理编号：</w:t>
      </w:r>
      <w:r>
        <w:rPr>
          <w:rFonts w:hint="eastAsia" w:ascii="仿宋_GB2312" w:hAnsi="仿宋_GB2312" w:eastAsia="仿宋_GB2312" w:cs="仿宋_GB2312"/>
          <w:color w:val="auto"/>
          <w:sz w:val="24"/>
          <w:highlight w:val="none"/>
          <w:u w:val="single"/>
          <w:lang w:eastAsia="zh-CN"/>
        </w:rPr>
        <w:t>HNTFCG20181007</w:t>
      </w:r>
    </w:p>
    <w:p>
      <w:pPr>
        <w:adjustRightInd w:val="0"/>
        <w:snapToGrid w:val="0"/>
        <w:spacing w:line="54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基本概况介绍：湖南金融中心三维演示系统于2017年底开始制作，已取得了阶段性成果，三维演示平台、2.8平方公里一级精度模型已建成，招商信息、配套信息、规划信息、政策查询功能已经载入，目前已在滨江金融中心及规划展示馆投入使用。按照前期设计目标和当前实际需要，现演示系统需进行维护与更新。</w:t>
      </w:r>
    </w:p>
    <w:p>
      <w:pPr>
        <w:pStyle w:val="46"/>
        <w:tabs>
          <w:tab w:val="left" w:pos="567"/>
        </w:tabs>
        <w:adjustRightInd w:val="0"/>
        <w:snapToGrid w:val="0"/>
        <w:spacing w:line="540" w:lineRule="exact"/>
        <w:ind w:firstLine="0" w:firstLineChars="0"/>
        <w:jc w:val="left"/>
        <w:rPr>
          <w:rFonts w:hint="eastAsia" w:ascii="仿宋_GB2312" w:hAnsi="仿宋_GB2312" w:eastAsia="仿宋_GB2312" w:cs="仿宋_GB2312"/>
          <w:b/>
          <w:color w:val="auto"/>
          <w:sz w:val="22"/>
          <w:highlight w:val="none"/>
          <w:lang w:eastAsia="zh-CN"/>
        </w:rPr>
      </w:pPr>
      <w:r>
        <w:rPr>
          <w:rFonts w:hint="eastAsia" w:ascii="仿宋_GB2312" w:hAnsi="仿宋_GB2312" w:eastAsia="仿宋_GB2312" w:cs="仿宋_GB2312"/>
          <w:b/>
          <w:color w:val="auto"/>
          <w:sz w:val="24"/>
          <w:highlight w:val="none"/>
        </w:rPr>
        <w:t>二、采购项目预算:</w:t>
      </w:r>
      <w:r>
        <w:rPr>
          <w:rFonts w:hint="eastAsia" w:ascii="仿宋_GB2312" w:hAnsi="仿宋_GB2312" w:eastAsia="仿宋_GB2312" w:cs="仿宋_GB2312"/>
          <w:bCs/>
          <w:color w:val="auto"/>
          <w:sz w:val="24"/>
          <w:highlight w:val="none"/>
          <w:lang w:eastAsia="zh-CN"/>
        </w:rPr>
        <w:t>35万元</w:t>
      </w:r>
    </w:p>
    <w:p>
      <w:pPr>
        <w:adjustRightInd w:val="0"/>
        <w:snapToGrid w:val="0"/>
        <w:spacing w:beforeLines="20" w:afterLines="20" w:line="360" w:lineRule="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三、供应商资格条件：</w:t>
      </w:r>
    </w:p>
    <w:p>
      <w:pPr>
        <w:adjustRightInd w:val="0"/>
        <w:snapToGrid w:val="0"/>
        <w:spacing w:beforeLines="20" w:afterLines="20" w:line="360" w:lineRule="auto"/>
        <w:ind w:firstLine="480" w:firstLineChars="200"/>
        <w:outlineLvl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1、供应商基本资格条件：符合《中华人民共和国政府采购法》第二十二条规定的供应商条件；</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eastAsia="zh-CN"/>
        </w:rPr>
        <w:t>投标人为社会法人单位的，提交企业法人营业执照副本(或者法人登记证书)以及组织机构代码证副本复印件；投标人为事业单位的，提交事业单位法人证书副本及单位组织机构代码证副本复印件</w:t>
      </w:r>
      <w:r>
        <w:rPr>
          <w:rFonts w:hint="eastAsia" w:ascii="仿宋_GB2312" w:hAnsi="仿宋_GB2312" w:eastAsia="仿宋_GB2312" w:cs="仿宋_GB2312"/>
          <w:color w:val="auto"/>
          <w:sz w:val="24"/>
          <w:highlight w:val="none"/>
        </w:rPr>
        <w:t>(或者法人登记证书)以及组织机构代码证副本复印件；</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（2）依法缴纳税收和社会保险费的证明材料，提供下列材料:</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①缴纳税收证明资料:《税务登记证》复印件，或者近三个月依法缴纳税收的证明（纳税凭证复印件），或者委托他人缴纳的委托代办协议和近三个月的缴纳证明（收据复印件），或者法定征收机关出具的依法免缴税收的证明原件。</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②缴</w:t>
      </w:r>
      <w:r>
        <w:rPr>
          <w:rFonts w:hint="eastAsia" w:ascii="仿宋_GB2312" w:hAnsi="仿宋_GB2312" w:eastAsia="仿宋_GB2312" w:cs="仿宋_GB2312"/>
          <w:color w:val="auto"/>
          <w:spacing w:val="-4"/>
          <w:sz w:val="24"/>
          <w:highlight w:val="none"/>
        </w:rPr>
        <w:t>纳社会保险证明资料：《社会保险登记证》复印件，或者近三个月依法缴纳社会保险的证明（缴费凭证复印件），或者委托他人缴纳的委托代办协议和近三个月的缴纳证明（收据复印件），或者法定征收机关出具的依法免缴保险费的证明原件。</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（3）法人提交法定代表人身份证明原件或者法定代表人授权委托书原件及提供被授权代表人在投标单位近三个月的社保证明并附法定代表人身份证明原件，自然人提交身份证复印件；</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（4）提供2017年度经会计师事务所审计的财务报告复印件（至少包含资产负债表、利润表和现金流量表）；公司成立不足一年的，提供银行出具的资信证明。</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（5）其他说明(非法人组织参与投标需提供的相关证明材料)。</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pacing w:val="-9"/>
          <w:sz w:val="24"/>
          <w:highlight w:val="none"/>
        </w:rPr>
        <w:t>供应商特定资格条件：</w:t>
      </w:r>
      <w:r>
        <w:rPr>
          <w:rFonts w:hint="eastAsia" w:ascii="仿宋_GB2312" w:hAnsi="仿宋_GB2312" w:eastAsia="仿宋_GB2312" w:cs="仿宋_GB2312"/>
          <w:color w:val="auto"/>
          <w:spacing w:val="-9"/>
          <w:sz w:val="24"/>
          <w:highlight w:val="none"/>
          <w:lang w:eastAsia="zh-CN"/>
        </w:rPr>
        <w:t>无。</w:t>
      </w:r>
    </w:p>
    <w:p>
      <w:pPr>
        <w:adjustRightInd w:val="0"/>
        <w:snapToGrid w:val="0"/>
        <w:spacing w:beforeLines="20" w:afterLines="20" w:line="360" w:lineRule="auto"/>
        <w:ind w:firstLine="420" w:firstLineChars="175"/>
        <w:outlineLvl w:val="0"/>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3、投标人具有实行了“三证合一”登记制度改革的新证，视同为持有工商营业执照、组织机构代码证和税务登记证，符合基本资格条件的相关条款；投标人具有实行了“五证合一”等级制度改革的新证，视同持有工商营业执照、组织机构代码证、税务登记证、社会保险登记证和统计登记证，符合基本资格条件的相关条款。</w:t>
      </w:r>
    </w:p>
    <w:p>
      <w:pPr>
        <w:numPr>
          <w:ilvl w:val="0"/>
          <w:numId w:val="3"/>
        </w:numPr>
        <w:adjustRightInd w:val="0"/>
        <w:snapToGrid w:val="0"/>
        <w:spacing w:beforeLines="20" w:afterLines="20" w:line="360" w:lineRule="auto"/>
        <w:ind w:firstLine="420" w:firstLineChars="175"/>
        <w:outlineLvl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w:t>
      </w:r>
      <w:r>
        <w:rPr>
          <w:rFonts w:hint="eastAsia" w:ascii="仿宋_GB2312" w:hAnsi="仿宋_GB2312" w:eastAsia="仿宋_GB2312" w:cs="仿宋_GB2312"/>
          <w:color w:val="auto"/>
          <w:sz w:val="24"/>
          <w:highlight w:val="none"/>
          <w:lang w:eastAsia="zh-CN"/>
        </w:rPr>
        <w:t>不</w:t>
      </w:r>
      <w:r>
        <w:rPr>
          <w:rFonts w:hint="eastAsia" w:ascii="仿宋_GB2312" w:hAnsi="仿宋_GB2312" w:eastAsia="仿宋_GB2312" w:cs="仿宋_GB2312"/>
          <w:color w:val="auto"/>
          <w:sz w:val="24"/>
          <w:highlight w:val="none"/>
        </w:rPr>
        <w:t>接受联合体投标。</w:t>
      </w:r>
    </w:p>
    <w:p>
      <w:pPr>
        <w:adjustRightInd w:val="0"/>
        <w:snapToGrid w:val="0"/>
        <w:spacing w:beforeLines="20" w:afterLines="20" w:line="360" w:lineRule="auto"/>
        <w:ind w:firstLine="420" w:firstLineChars="175"/>
        <w:outlineLvl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5、资格证明文件复印件须加盖投标人公章。</w:t>
      </w:r>
    </w:p>
    <w:p>
      <w:pPr>
        <w:adjustRightInd w:val="0"/>
        <w:snapToGrid w:val="0"/>
        <w:spacing w:beforeLines="20" w:afterLines="20" w:line="360" w:lineRule="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四、获取磋商文件的时间、地点、方式及磋商文件售价</w:t>
      </w:r>
    </w:p>
    <w:p>
      <w:pPr>
        <w:adjustRightInd w:val="0"/>
        <w:snapToGrid w:val="0"/>
        <w:spacing w:beforeLines="20" w:afterLines="20" w:line="360" w:lineRule="auto"/>
        <w:ind w:firstLine="420" w:firstLineChars="175"/>
        <w:outlineLvl w:val="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1、凡有意参加磋商采购活动的，请于</w:t>
      </w:r>
      <w:r>
        <w:rPr>
          <w:rFonts w:hint="eastAsia" w:ascii="仿宋_GB2312" w:hAnsi="仿宋_GB2312" w:eastAsia="仿宋_GB2312" w:cs="仿宋_GB2312"/>
          <w:bCs/>
          <w:color w:val="auto"/>
          <w:sz w:val="24"/>
          <w:highlight w:val="none"/>
          <w:u w:val="single"/>
        </w:rPr>
        <mc:AlternateContent>
          <mc:Choice Requires="wps">
            <w:drawing>
              <wp:inline distT="0" distB="0" distL="114300" distR="114300">
                <wp:extent cx="635" cy="0"/>
                <wp:effectExtent l="0" t="0" r="0" b="0"/>
                <wp:docPr id="1" name="图片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635" cy="0"/>
                        </a:xfrm>
                        <a:prstGeom prst="rect">
                          <a:avLst/>
                        </a:prstGeom>
                        <a:noFill/>
                        <a:ln w="9525">
                          <a:noFill/>
                        </a:ln>
                      </wps:spPr>
                      <wps:bodyPr upright="1"/>
                    </wps:wsp>
                  </a:graphicData>
                </a:graphic>
              </wp:inline>
            </w:drawing>
          </mc:Choice>
          <mc:Fallback>
            <w:pict>
              <v:rect id="图片 1" o:spid="_x0000_s1026" o:spt="1" style="height:0pt;width:0.05pt;" filled="f" stroked="f" coordsize="21600,21600" o:gfxdata="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HCX9zwAAAP8AAAAPAAAAAAAAAAEAIAAAACIAAABkcnMvZG93bnJl&#10;di54bWxQSwECFAAUAAAACACHTuJAMZtr4JQBAAAUAwAADgAAAAAAAAABACAAAAAeAQAAZHJzL2Uy&#10;b0RvYy54bWxQSwUGAAAAAAYABgBZAQAAJAUAAAAA&#10;">
                <v:fill on="f" focussize="0,0"/>
                <v:stroke on="f"/>
                <v:imagedata o:title=""/>
                <o:lock v:ext="edit" aspectratio="t"/>
                <w10:wrap type="none"/>
                <w10:anchorlock/>
              </v:rect>
            </w:pict>
          </mc:Fallback>
        </mc:AlternateContent>
      </w:r>
      <w:r>
        <w:rPr>
          <w:rFonts w:hint="eastAsia" w:ascii="仿宋_GB2312" w:hAnsi="仿宋_GB2312" w:eastAsia="仿宋_GB2312" w:cs="仿宋_GB2312"/>
          <w:bCs/>
          <w:color w:val="auto"/>
          <w:sz w:val="24"/>
          <w:highlight w:val="none"/>
          <w:u w:val="single"/>
        </w:rPr>
        <w:t>2018</w:t>
      </w:r>
      <w:r>
        <w:rPr>
          <w:rFonts w:hint="eastAsia" w:ascii="仿宋_GB2312" w:hAnsi="仿宋_GB2312" w:eastAsia="仿宋_GB2312" w:cs="仿宋_GB2312"/>
          <w:bCs/>
          <w:color w:val="auto"/>
          <w:sz w:val="24"/>
          <w:highlight w:val="none"/>
        </w:rPr>
        <w:t>年</w:t>
      </w:r>
      <w:r>
        <w:rPr>
          <w:rFonts w:hint="eastAsia" w:ascii="仿宋_GB2312" w:hAnsi="仿宋_GB2312" w:eastAsia="仿宋_GB2312" w:cs="仿宋_GB2312"/>
          <w:bCs/>
          <w:color w:val="auto"/>
          <w:sz w:val="24"/>
          <w:highlight w:val="none"/>
          <w:u w:val="single"/>
          <w:lang w:val="en-US" w:eastAsia="zh-CN"/>
        </w:rPr>
        <w:t>11</w:t>
      </w:r>
      <w:r>
        <w:rPr>
          <w:rFonts w:hint="eastAsia" w:ascii="仿宋_GB2312" w:hAnsi="仿宋_GB2312" w:eastAsia="仿宋_GB2312" w:cs="仿宋_GB2312"/>
          <w:bCs/>
          <w:color w:val="auto"/>
          <w:sz w:val="24"/>
          <w:highlight w:val="none"/>
        </w:rPr>
        <w:t>月</w:t>
      </w:r>
      <w:r>
        <w:rPr>
          <w:rFonts w:hint="eastAsia" w:ascii="仿宋_GB2312" w:hAnsi="仿宋_GB2312" w:eastAsia="仿宋_GB2312" w:cs="仿宋_GB2312"/>
          <w:bCs/>
          <w:color w:val="auto"/>
          <w:sz w:val="24"/>
          <w:highlight w:val="none"/>
          <w:u w:val="single"/>
          <w:lang w:val="en-US" w:eastAsia="zh-CN"/>
        </w:rPr>
        <w:t>23</w:t>
      </w:r>
      <w:r>
        <w:rPr>
          <w:rFonts w:hint="eastAsia" w:ascii="仿宋_GB2312" w:hAnsi="仿宋_GB2312" w:eastAsia="仿宋_GB2312" w:cs="仿宋_GB2312"/>
          <w:bCs/>
          <w:color w:val="auto"/>
          <w:sz w:val="24"/>
          <w:highlight w:val="none"/>
        </w:rPr>
        <w:t>日起至</w:t>
      </w:r>
      <w:r>
        <w:rPr>
          <w:rFonts w:hint="eastAsia" w:ascii="仿宋_GB2312" w:hAnsi="仿宋_GB2312" w:eastAsia="仿宋_GB2312" w:cs="仿宋_GB2312"/>
          <w:bCs/>
          <w:color w:val="auto"/>
          <w:sz w:val="24"/>
          <w:highlight w:val="none"/>
          <w:u w:val="single"/>
        </w:rPr>
        <w:t>2018</w:t>
      </w:r>
      <w:r>
        <w:rPr>
          <w:rFonts w:hint="eastAsia" w:ascii="仿宋_GB2312" w:hAnsi="仿宋_GB2312" w:eastAsia="仿宋_GB2312" w:cs="仿宋_GB2312"/>
          <w:bCs/>
          <w:color w:val="auto"/>
          <w:sz w:val="24"/>
          <w:highlight w:val="none"/>
        </w:rPr>
        <w:t>年</w:t>
      </w:r>
      <w:r>
        <w:rPr>
          <w:rFonts w:hint="eastAsia" w:ascii="仿宋_GB2312" w:hAnsi="仿宋_GB2312" w:eastAsia="仿宋_GB2312" w:cs="仿宋_GB2312"/>
          <w:bCs/>
          <w:color w:val="auto"/>
          <w:sz w:val="24"/>
          <w:highlight w:val="none"/>
          <w:u w:val="single"/>
          <w:lang w:val="en-US" w:eastAsia="zh-CN"/>
        </w:rPr>
        <w:t>11</w:t>
      </w:r>
      <w:r>
        <w:rPr>
          <w:rFonts w:hint="eastAsia" w:ascii="仿宋_GB2312" w:hAnsi="仿宋_GB2312" w:eastAsia="仿宋_GB2312" w:cs="仿宋_GB2312"/>
          <w:bCs/>
          <w:color w:val="auto"/>
          <w:sz w:val="24"/>
          <w:highlight w:val="none"/>
        </w:rPr>
        <w:t>月</w:t>
      </w:r>
      <w:r>
        <w:rPr>
          <w:rFonts w:hint="eastAsia" w:ascii="仿宋_GB2312" w:hAnsi="仿宋_GB2312" w:eastAsia="仿宋_GB2312" w:cs="仿宋_GB2312"/>
          <w:bCs/>
          <w:color w:val="auto"/>
          <w:sz w:val="24"/>
          <w:highlight w:val="none"/>
          <w:u w:val="single"/>
          <w:lang w:val="en-US" w:eastAsia="zh-CN"/>
        </w:rPr>
        <w:t>29</w:t>
      </w:r>
      <w:r>
        <w:rPr>
          <w:rFonts w:hint="eastAsia" w:ascii="仿宋_GB2312" w:hAnsi="仿宋_GB2312" w:eastAsia="仿宋_GB2312" w:cs="仿宋_GB2312"/>
          <w:bCs/>
          <w:color w:val="auto"/>
          <w:sz w:val="24"/>
          <w:highlight w:val="none"/>
        </w:rPr>
        <w:t>日(节假日除外)，每日上午9:00至</w:t>
      </w:r>
      <w:r>
        <w:rPr>
          <w:rFonts w:hint="eastAsia" w:ascii="仿宋_GB2312" w:hAnsi="仿宋_GB2312" w:eastAsia="仿宋_GB2312" w:cs="仿宋_GB2312"/>
          <w:bCs/>
          <w:color w:val="auto"/>
          <w:sz w:val="24"/>
          <w:highlight w:val="none"/>
        </w:rPr>
        <mc:AlternateContent>
          <mc:Choice Requires="wps">
            <w:drawing>
              <wp:inline distT="0" distB="0" distL="114300" distR="114300">
                <wp:extent cx="635" cy="0"/>
                <wp:effectExtent l="0" t="0" r="0" b="0"/>
                <wp:docPr id="2" name="图片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635" cy="0"/>
                        </a:xfrm>
                        <a:prstGeom prst="rect">
                          <a:avLst/>
                        </a:prstGeom>
                        <a:noFill/>
                        <a:ln w="9525">
                          <a:noFill/>
                        </a:ln>
                      </wps:spPr>
                      <wps:bodyPr upright="1"/>
                    </wps:wsp>
                  </a:graphicData>
                </a:graphic>
              </wp:inline>
            </w:drawing>
          </mc:Choice>
          <mc:Fallback>
            <w:pict>
              <v:rect id="图片 5" o:spid="_x0000_s1026" o:spt="1" style="height:0pt;width:0.05pt;" filled="f" stroked="f" coordsize="21600,21600" o:gfxdata="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HCX9zwAAAP8AAAAPAAAAAAAAAAEAIAAAACIAAABkcnMvZG93bnJl&#10;di54bWxQSwECFAAUAAAACACHTuJAyfmgEpQBAAAUAwAADgAAAAAAAAABACAAAAAeAQAAZHJzL2Uy&#10;b0RvYy54bWxQSwUGAAAAAAYABgBZAQAAJAUAAAAA&#10;">
                <v:fill on="f" focussize="0,0"/>
                <v:stroke on="f"/>
                <v:imagedata o:title=""/>
                <o:lock v:ext="edit" aspectratio="t"/>
                <w10:wrap type="none"/>
                <w10:anchorlock/>
              </v:rect>
            </w:pict>
          </mc:Fallback>
        </mc:AlternateContent>
      </w:r>
      <w:r>
        <w:rPr>
          <w:rFonts w:hint="eastAsia" w:ascii="仿宋_GB2312" w:hAnsi="仿宋_GB2312" w:eastAsia="仿宋_GB2312" w:cs="仿宋_GB2312"/>
          <w:bCs/>
          <w:color w:val="auto"/>
          <w:sz w:val="24"/>
          <w:highlight w:val="none"/>
        </w:rPr>
        <w:t>12:00，</w:t>
      </w:r>
      <w:r>
        <w:rPr>
          <w:rFonts w:hint="eastAsia" w:ascii="仿宋_GB2312" w:hAnsi="仿宋_GB2312" w:eastAsia="仿宋_GB2312" w:cs="仿宋_GB2312"/>
          <w:bCs/>
          <w:color w:val="auto"/>
          <w:spacing w:val="-11"/>
          <w:sz w:val="24"/>
          <w:highlight w:val="none"/>
        </w:rPr>
        <w:t>下午2:30至5:00</w:t>
      </w:r>
      <w:r>
        <w:rPr>
          <w:rFonts w:hint="eastAsia" w:ascii="仿宋_GB2312" w:hAnsi="仿宋_GB2312" w:eastAsia="仿宋_GB2312" w:cs="仿宋_GB2312"/>
          <w:bCs/>
          <w:color w:val="auto"/>
          <w:spacing w:val="-11"/>
          <w:sz w:val="24"/>
          <w:highlight w:val="none"/>
        </w:rPr>
        <mc:AlternateContent>
          <mc:Choice Requires="wps">
            <w:drawing>
              <wp:inline distT="0" distB="0" distL="114300" distR="114300">
                <wp:extent cx="635" cy="0"/>
                <wp:effectExtent l="0" t="0" r="0" b="0"/>
                <wp:docPr id="3" name="图片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635" cy="0"/>
                        </a:xfrm>
                        <a:prstGeom prst="rect">
                          <a:avLst/>
                        </a:prstGeom>
                        <a:noFill/>
                        <a:ln w="9525">
                          <a:noFill/>
                        </a:ln>
                      </wps:spPr>
                      <wps:bodyPr upright="1"/>
                    </wps:wsp>
                  </a:graphicData>
                </a:graphic>
              </wp:inline>
            </w:drawing>
          </mc:Choice>
          <mc:Fallback>
            <w:pict>
              <v:rect id="图片 6" o:spid="_x0000_s1026" o:spt="1" style="height:0pt;width:0.05pt;" filled="f" stroked="f" coordsize="21600,21600" o:gfxdata="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hwl/c8AAAD/AAAADwAAAAAAAAABACAAAAAiAAAAZHJzL2Rvd25y&#10;ZXYueG1sUEsBAhQAFAAAAAgAh07iQM/hPYuVAQAAFAMAAA4AAAAAAAAAAQAgAAAAHgEAAGRycy9l&#10;Mm9Eb2MueG1sUEsFBgAAAAAGAAYAWQEAACUFAAAAAA==&#10;">
                <v:fill on="f" focussize="0,0"/>
                <v:stroke on="f"/>
                <v:imagedata o:title=""/>
                <o:lock v:ext="edit" aspectratio="t"/>
                <w10:wrap type="none"/>
                <w10:anchorlock/>
              </v:rect>
            </w:pict>
          </mc:Fallback>
        </mc:AlternateContent>
      </w:r>
      <w:r>
        <w:rPr>
          <w:rFonts w:hint="eastAsia" w:ascii="仿宋_GB2312" w:hAnsi="仿宋_GB2312" w:eastAsia="仿宋_GB2312" w:cs="仿宋_GB2312"/>
          <w:bCs/>
          <w:color w:val="auto"/>
          <w:spacing w:val="-11"/>
          <w:sz w:val="24"/>
          <w:highlight w:val="none"/>
        </w:rPr>
        <w:t>(北京时间)，持法定代表人身份证明或授权委托书(附法定代表人身份证明)、个人身份证</w:t>
      </w:r>
      <w:r>
        <w:rPr>
          <w:rFonts w:hint="eastAsia" w:ascii="仿宋_GB2312" w:hAnsi="仿宋_GB2312" w:eastAsia="仿宋_GB2312" w:cs="仿宋_GB2312"/>
          <w:bCs/>
          <w:color w:val="auto"/>
          <w:sz w:val="24"/>
          <w:highlight w:val="none"/>
        </w:rPr>
        <w:t>到</w:t>
      </w:r>
      <w:r>
        <w:rPr>
          <w:rFonts w:hint="eastAsia" w:ascii="仿宋_GB2312" w:hAnsi="仿宋_GB2312" w:eastAsia="仿宋_GB2312" w:cs="仿宋_GB2312"/>
          <w:color w:val="auto"/>
          <w:sz w:val="24"/>
          <w:highlight w:val="none"/>
          <w:u w:val="single"/>
        </w:rPr>
        <w:t>长沙市岳麓区金星北路市政府旁恒晟湘江中心A座6楼</w:t>
      </w:r>
      <w:r>
        <w:rPr>
          <w:rFonts w:hint="eastAsia" w:ascii="仿宋_GB2312" w:hAnsi="仿宋_GB2312" w:eastAsia="仿宋_GB2312" w:cs="仿宋_GB2312"/>
          <w:bCs/>
          <w:color w:val="auto"/>
          <w:sz w:val="24"/>
          <w:highlight w:val="none"/>
          <w:u w:val="single"/>
        </w:rPr>
        <w:t>湖南天福项目管理有限公司</w:t>
      </w:r>
      <w:r>
        <w:rPr>
          <w:rFonts w:hint="eastAsia" w:ascii="仿宋_GB2312" w:hAnsi="仿宋_GB2312" w:eastAsia="仿宋_GB2312" w:cs="仿宋_GB2312"/>
          <w:bCs/>
          <w:color w:val="auto"/>
          <w:sz w:val="24"/>
          <w:highlight w:val="none"/>
        </w:rPr>
        <w:t>报名领取磋商文件。</w:t>
      </w:r>
    </w:p>
    <w:p>
      <w:pPr>
        <w:adjustRightInd w:val="0"/>
        <w:snapToGrid w:val="0"/>
        <w:spacing w:beforeLines="20" w:afterLines="20" w:line="360" w:lineRule="auto"/>
        <w:ind w:firstLine="420" w:firstLineChars="175"/>
        <w:outlineLvl w:val="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2、磋商文件每份人民币</w:t>
      </w:r>
      <w:r>
        <w:rPr>
          <w:rFonts w:hint="eastAsia" w:ascii="仿宋_GB2312" w:hAnsi="仿宋_GB2312" w:eastAsia="仿宋_GB2312" w:cs="仿宋_GB2312"/>
          <w:bCs/>
          <w:color w:val="auto"/>
          <w:sz w:val="24"/>
          <w:highlight w:val="none"/>
          <w:u w:val="single"/>
        </w:rPr>
        <w:t>400</w:t>
      </w:r>
      <w:r>
        <w:rPr>
          <w:rFonts w:hint="eastAsia" w:ascii="仿宋_GB2312" w:hAnsi="仿宋_GB2312" w:eastAsia="仿宋_GB2312" w:cs="仿宋_GB2312"/>
          <w:bCs/>
          <w:color w:val="auto"/>
          <w:sz w:val="24"/>
          <w:highlight w:val="none"/>
        </w:rPr>
        <w:t>元，售后不退。</w:t>
      </w:r>
    </w:p>
    <w:p>
      <w:pPr>
        <w:adjustRightInd w:val="0"/>
        <w:snapToGrid w:val="0"/>
        <w:spacing w:beforeLines="20" w:afterLines="20" w:line="360" w:lineRule="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五、响应文件提交的截止时间、开启时间及地点</w:t>
      </w:r>
    </w:p>
    <w:p>
      <w:pPr>
        <w:adjustRightInd w:val="0"/>
        <w:snapToGrid w:val="0"/>
        <w:spacing w:beforeLines="20" w:afterLines="20" w:line="360" w:lineRule="auto"/>
        <w:ind w:firstLine="420" w:firstLineChars="175"/>
        <w:outlineLvl w:val="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1、提交首次响应文件的截止时间为</w:t>
      </w:r>
      <w:r>
        <w:rPr>
          <w:rFonts w:hint="eastAsia" w:ascii="仿宋_GB2312" w:hAnsi="仿宋_GB2312" w:eastAsia="仿宋_GB2312" w:cs="仿宋_GB2312"/>
          <w:bCs/>
          <w:color w:val="auto"/>
          <w:sz w:val="24"/>
          <w:highlight w:val="none"/>
          <w:u w:val="single"/>
        </w:rPr>
        <w:t>2018</w:t>
      </w:r>
      <w:r>
        <w:rPr>
          <w:rFonts w:hint="eastAsia" w:ascii="仿宋_GB2312" w:hAnsi="仿宋_GB2312" w:eastAsia="仿宋_GB2312" w:cs="仿宋_GB2312"/>
          <w:bCs/>
          <w:color w:val="auto"/>
          <w:sz w:val="24"/>
          <w:highlight w:val="none"/>
        </w:rPr>
        <w:t>年</w:t>
      </w:r>
      <w:r>
        <w:rPr>
          <w:rFonts w:hint="eastAsia" w:ascii="仿宋_GB2312" w:hAnsi="仿宋_GB2312" w:eastAsia="仿宋_GB2312" w:cs="仿宋_GB2312"/>
          <w:bCs/>
          <w:color w:val="auto"/>
          <w:sz w:val="24"/>
          <w:highlight w:val="none"/>
          <w:u w:val="single"/>
          <w:lang w:val="en-US" w:eastAsia="zh-CN"/>
        </w:rPr>
        <w:t>12</w:t>
      </w:r>
      <w:r>
        <w:rPr>
          <w:rFonts w:hint="eastAsia" w:ascii="仿宋_GB2312" w:hAnsi="仿宋_GB2312" w:eastAsia="仿宋_GB2312" w:cs="仿宋_GB2312"/>
          <w:bCs/>
          <w:color w:val="auto"/>
          <w:sz w:val="24"/>
          <w:highlight w:val="none"/>
        </w:rPr>
        <w:t>月</w:t>
      </w:r>
      <w:r>
        <w:rPr>
          <w:rFonts w:hint="eastAsia" w:ascii="仿宋_GB2312" w:hAnsi="仿宋_GB2312" w:eastAsia="仿宋_GB2312" w:cs="仿宋_GB2312"/>
          <w:bCs/>
          <w:color w:val="auto"/>
          <w:sz w:val="24"/>
          <w:highlight w:val="none"/>
          <w:u w:val="single"/>
          <w:lang w:val="en-US" w:eastAsia="zh-CN"/>
        </w:rPr>
        <w:t xml:space="preserve"> 4 </w:t>
      </w:r>
      <w:r>
        <w:rPr>
          <w:rFonts w:hint="eastAsia" w:ascii="仿宋_GB2312" w:hAnsi="仿宋_GB2312" w:eastAsia="仿宋_GB2312" w:cs="仿宋_GB2312"/>
          <w:bCs/>
          <w:color w:val="auto"/>
          <w:sz w:val="24"/>
          <w:highlight w:val="none"/>
        </w:rPr>
        <w:t>日</w:t>
      </w:r>
      <w:r>
        <w:rPr>
          <w:rFonts w:hint="eastAsia" w:ascii="仿宋_GB2312" w:hAnsi="仿宋_GB2312" w:eastAsia="仿宋_GB2312" w:cs="仿宋_GB2312"/>
          <w:bCs/>
          <w:color w:val="auto"/>
          <w:sz w:val="24"/>
          <w:highlight w:val="none"/>
          <w:u w:val="single"/>
        </w:rPr>
        <w:t>14</w:t>
      </w:r>
      <w:r>
        <w:rPr>
          <w:rFonts w:hint="eastAsia" w:ascii="仿宋_GB2312" w:hAnsi="仿宋_GB2312" w:eastAsia="仿宋_GB2312" w:cs="仿宋_GB2312"/>
          <w:bCs/>
          <w:color w:val="auto"/>
          <w:sz w:val="24"/>
          <w:highlight w:val="none"/>
        </w:rPr>
        <w:t>时</w:t>
      </w:r>
      <w:r>
        <w:rPr>
          <w:rFonts w:hint="eastAsia" w:ascii="仿宋_GB2312" w:hAnsi="仿宋_GB2312" w:eastAsia="仿宋_GB2312" w:cs="仿宋_GB2312"/>
          <w:bCs/>
          <w:color w:val="auto"/>
          <w:sz w:val="24"/>
          <w:highlight w:val="none"/>
          <w:u w:val="single"/>
        </w:rPr>
        <w:t>00</w:t>
      </w:r>
      <w:r>
        <w:rPr>
          <w:rFonts w:hint="eastAsia" w:ascii="仿宋_GB2312" w:hAnsi="仿宋_GB2312" w:eastAsia="仿宋_GB2312" w:cs="仿宋_GB2312"/>
          <w:bCs/>
          <w:color w:val="auto"/>
          <w:sz w:val="24"/>
          <w:highlight w:val="none"/>
        </w:rPr>
        <w:t>分（北京时间），地点为</w:t>
      </w:r>
      <w:r>
        <w:rPr>
          <w:rFonts w:hint="eastAsia" w:ascii="仿宋_GB2312" w:hAnsi="仿宋_GB2312" w:eastAsia="仿宋_GB2312" w:cs="仿宋_GB2312"/>
          <w:bCs/>
          <w:color w:val="auto"/>
          <w:sz w:val="24"/>
          <w:highlight w:val="none"/>
          <w:u w:val="single"/>
        </w:rPr>
        <w:t xml:space="preserve"> 长沙市岳麓区金星北路市政府旁恒晟湘江中心A座6楼开标室</w:t>
      </w:r>
      <w:r>
        <w:rPr>
          <w:rFonts w:hint="eastAsia" w:ascii="仿宋_GB2312" w:hAnsi="仿宋_GB2312" w:eastAsia="仿宋_GB2312" w:cs="仿宋_GB2312"/>
          <w:bCs/>
          <w:color w:val="auto"/>
          <w:sz w:val="24"/>
          <w:highlight w:val="none"/>
        </w:rPr>
        <w:t>。在截止时间后送达的响应文件为无效文件，采购人、采购代理机构或者磋商小组应当拒收。</w:t>
      </w:r>
    </w:p>
    <w:p>
      <w:pPr>
        <w:tabs>
          <w:tab w:val="left" w:pos="360"/>
        </w:tabs>
        <w:adjustRightInd w:val="0"/>
        <w:snapToGrid w:val="0"/>
        <w:spacing w:beforeLines="20" w:afterLines="20"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2、首次响应文件的开启时间及地点与提交首次响应文件的截止时间及地点为同一时间及地点。</w:t>
      </w:r>
    </w:p>
    <w:p>
      <w:pPr>
        <w:adjustRightInd w:val="0"/>
        <w:snapToGrid w:val="0"/>
        <w:spacing w:beforeLines="20" w:afterLines="20" w:line="360" w:lineRule="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六、采购项目联系人姓名和电话</w:t>
      </w:r>
    </w:p>
    <w:p>
      <w:pPr>
        <w:adjustRightInd w:val="0"/>
        <w:snapToGrid w:val="0"/>
        <w:spacing w:beforeLines="20" w:afterLines="20" w:line="360" w:lineRule="auto"/>
        <w:ind w:firstLine="422" w:firstLineChars="175"/>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bCs/>
          <w:color w:val="auto"/>
          <w:sz w:val="24"/>
          <w:highlight w:val="none"/>
        </w:rPr>
        <w:t>采 购 人：</w:t>
      </w:r>
      <w:r>
        <w:rPr>
          <w:rFonts w:hint="eastAsia" w:ascii="仿宋_GB2312" w:hAnsi="仿宋_GB2312" w:eastAsia="仿宋_GB2312" w:cs="仿宋_GB2312"/>
          <w:b/>
          <w:bCs/>
          <w:color w:val="auto"/>
          <w:sz w:val="24"/>
          <w:highlight w:val="none"/>
          <w:lang w:eastAsia="zh-CN"/>
        </w:rPr>
        <w:t>湖南湘江新区管理委员会财政局</w:t>
      </w:r>
    </w:p>
    <w:p>
      <w:pPr>
        <w:adjustRightInd w:val="0"/>
        <w:snapToGrid w:val="0"/>
        <w:spacing w:line="360" w:lineRule="auto"/>
        <w:ind w:firstLine="420" w:firstLineChars="175"/>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lang w:eastAsia="zh-CN"/>
        </w:rPr>
        <w:t>长沙市岳麓区梅溪湖国际研发中心6栋</w:t>
      </w:r>
    </w:p>
    <w:p>
      <w:pPr>
        <w:adjustRightInd w:val="0"/>
        <w:snapToGrid w:val="0"/>
        <w:spacing w:line="360" w:lineRule="auto"/>
        <w:ind w:firstLine="420" w:firstLineChars="175"/>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联 系 人：</w:t>
      </w:r>
      <w:r>
        <w:rPr>
          <w:rFonts w:hint="eastAsia" w:ascii="仿宋_GB2312" w:hAnsi="仿宋_GB2312" w:eastAsia="仿宋_GB2312" w:cs="仿宋_GB2312"/>
          <w:color w:val="auto"/>
          <w:sz w:val="24"/>
          <w:highlight w:val="none"/>
          <w:lang w:eastAsia="zh-CN"/>
        </w:rPr>
        <w:t>王瑜</w:t>
      </w:r>
    </w:p>
    <w:p>
      <w:pPr>
        <w:adjustRightInd w:val="0"/>
        <w:snapToGrid w:val="0"/>
        <w:spacing w:line="360" w:lineRule="auto"/>
        <w:ind w:firstLine="420" w:firstLineChars="175"/>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lang w:eastAsia="zh-CN"/>
        </w:rPr>
        <w:t>18674852015</w:t>
      </w:r>
    </w:p>
    <w:p>
      <w:pPr>
        <w:adjustRightInd w:val="0"/>
        <w:snapToGrid w:val="0"/>
        <w:spacing w:line="360" w:lineRule="auto"/>
        <w:ind w:firstLine="420" w:firstLineChars="175"/>
        <w:rPr>
          <w:rFonts w:hint="eastAsia" w:ascii="仿宋_GB2312" w:hAnsi="仿宋_GB2312" w:eastAsia="仿宋_GB2312" w:cs="仿宋_GB2312"/>
          <w:color w:val="auto"/>
          <w:sz w:val="24"/>
          <w:highlight w:val="none"/>
        </w:rPr>
      </w:pPr>
    </w:p>
    <w:p>
      <w:pPr>
        <w:adjustRightInd w:val="0"/>
        <w:snapToGrid w:val="0"/>
        <w:spacing w:beforeLines="20" w:afterLines="20" w:line="360" w:lineRule="auto"/>
        <w:ind w:firstLine="422"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代理机构：湖南天福项目管理有限公司</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址：长沙市岳麓区金星北路市政府旁恒晟湘江中心A座6楼</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 系 人：陈毫</w:t>
      </w:r>
    </w:p>
    <w:p>
      <w:pPr>
        <w:adjustRightInd w:val="0"/>
        <w:snapToGrid w:val="0"/>
        <w:spacing w:beforeLines="20" w:afterLines="20" w:line="360" w:lineRule="auto"/>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联系电话：0731-82159999、18874073773</w:t>
      </w:r>
    </w:p>
    <w:p>
      <w:pPr>
        <w:adjustRightInd w:val="0"/>
        <w:snapToGrid w:val="0"/>
        <w:spacing w:line="52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磋商保证金汇至：</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1、保证金数额：</w:t>
      </w:r>
      <w:r>
        <w:rPr>
          <w:rFonts w:hint="eastAsia" w:ascii="仿宋_GB2312" w:hAnsi="仿宋_GB2312" w:eastAsia="仿宋_GB2312" w:cs="仿宋_GB2312"/>
          <w:color w:val="auto"/>
          <w:sz w:val="24"/>
          <w:highlight w:val="none"/>
          <w:lang w:val="en-US" w:eastAsia="zh-CN"/>
        </w:rPr>
        <w:t>6000</w:t>
      </w:r>
      <w:bookmarkStart w:id="12" w:name="_GoBack"/>
      <w:bookmarkEnd w:id="12"/>
      <w:r>
        <w:rPr>
          <w:rFonts w:hint="eastAsia" w:ascii="仿宋_GB2312" w:hAnsi="仿宋_GB2312" w:eastAsia="仿宋_GB2312" w:cs="仿宋_GB2312"/>
          <w:color w:val="auto"/>
          <w:sz w:val="24"/>
          <w:highlight w:val="none"/>
        </w:rPr>
        <w:t>元(人民币)</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2、缴纳方式：</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以支票、汇票、本票等形式从投标人基本账户一次足额缴入如下账户，在投标截止时间前查询已经到账，视为已缴纳。</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账户名：湖南天福项目管理有限公司政府采购保证金专户</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账号：8002 8401 7809 015</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开户行：长沙银行浏阳河支行</w:t>
      </w:r>
    </w:p>
    <w:p>
      <w:pPr>
        <w:adjustRightInd w:val="0"/>
        <w:snapToGrid w:val="0"/>
        <w:spacing w:line="600" w:lineRule="exact"/>
        <w:ind w:firstLine="420" w:firstLineChars="175"/>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行号：313551094026</w:t>
      </w:r>
    </w:p>
    <w:p>
      <w:pPr>
        <w:adjustRightInd w:val="0"/>
        <w:snapToGrid w:val="0"/>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color w:val="auto"/>
          <w:sz w:val="24"/>
          <w:highlight w:val="none"/>
          <w:u w:val="single"/>
        </w:rPr>
        <w:br w:type="page"/>
      </w:r>
      <w:r>
        <w:rPr>
          <w:rFonts w:hint="eastAsia" w:ascii="仿宋_GB2312" w:hAnsi="仿宋_GB2312" w:eastAsia="仿宋_GB2312" w:cs="仿宋_GB2312"/>
          <w:b/>
          <w:color w:val="auto"/>
          <w:sz w:val="32"/>
          <w:szCs w:val="32"/>
          <w:highlight w:val="none"/>
        </w:rPr>
        <w:t>第二章 磋商须知</w:t>
      </w:r>
    </w:p>
    <w:p>
      <w:pPr>
        <w:pStyle w:val="9"/>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磋商须知前附表</w:t>
      </w:r>
    </w:p>
    <w:tbl>
      <w:tblPr>
        <w:tblStyle w:val="29"/>
        <w:tblW w:w="8845"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44"/>
        <w:gridCol w:w="1985"/>
        <w:gridCol w:w="501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17" w:hRule="atLeast"/>
          <w:tblHeader/>
          <w:jc w:val="center"/>
        </w:trPr>
        <w:tc>
          <w:tcPr>
            <w:tcW w:w="1844" w:type="dxa"/>
            <w:tcBorders>
              <w:top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条款号</w:t>
            </w:r>
          </w:p>
        </w:tc>
        <w:tc>
          <w:tcPr>
            <w:tcW w:w="1985" w:type="dxa"/>
            <w:tcBorders>
              <w:top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条款名称</w:t>
            </w:r>
          </w:p>
        </w:tc>
        <w:tc>
          <w:tcPr>
            <w:tcW w:w="5016" w:type="dxa"/>
            <w:tcBorders>
              <w:top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一、说明</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第二章第1.1款</w:t>
            </w:r>
          </w:p>
        </w:tc>
        <w:tc>
          <w:tcPr>
            <w:tcW w:w="1985" w:type="dxa"/>
            <w:vAlign w:val="center"/>
          </w:tcPr>
          <w:p>
            <w:pPr>
              <w:widowControl/>
              <w:adjustRightInd w:val="0"/>
              <w:snapToGrid w:val="0"/>
              <w:spacing w:beforeLines="20" w:afterLines="2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采购项目</w:t>
            </w:r>
          </w:p>
        </w:tc>
        <w:tc>
          <w:tcPr>
            <w:tcW w:w="5016" w:type="dxa"/>
            <w:vAlign w:val="center"/>
          </w:tcPr>
          <w:p>
            <w:pPr>
              <w:widowControl/>
              <w:adjustRightInd w:val="0"/>
              <w:snapToGrid w:val="0"/>
              <w:spacing w:line="264"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湖南湘江新区管理委员会财政局湖南金融中心三维演示系统（二期）更新项目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468"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第二章第2.1款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w:t>
            </w:r>
          </w:p>
        </w:tc>
        <w:tc>
          <w:tcPr>
            <w:tcW w:w="5016" w:type="dxa"/>
            <w:vAlign w:val="center"/>
          </w:tcPr>
          <w:p>
            <w:pPr>
              <w:widowControl/>
              <w:adjustRightInd w:val="0"/>
              <w:snapToGrid w:val="0"/>
              <w:spacing w:line="264"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采购人：</w:t>
            </w:r>
            <w:r>
              <w:rPr>
                <w:rFonts w:hint="eastAsia" w:ascii="仿宋_GB2312" w:hAnsi="仿宋_GB2312" w:eastAsia="仿宋_GB2312" w:cs="仿宋_GB2312"/>
                <w:color w:val="auto"/>
                <w:sz w:val="24"/>
                <w:highlight w:val="none"/>
                <w:lang w:eastAsia="zh-CN"/>
              </w:rPr>
              <w:t>湖南湘江新区管理委员会财政局</w:t>
            </w:r>
          </w:p>
          <w:p>
            <w:pPr>
              <w:widowControl/>
              <w:adjustRightInd w:val="0"/>
              <w:snapToGrid w:val="0"/>
              <w:spacing w:line="264" w:lineRule="auto"/>
              <w:rPr>
                <w:rFonts w:hint="eastAsia" w:ascii="仿宋_GB2312" w:hAnsi="仿宋_GB2312" w:eastAsia="仿宋_GB2312" w:cs="仿宋_GB2312"/>
                <w:color w:val="auto"/>
                <w:spacing w:val="-11"/>
                <w:sz w:val="24"/>
                <w:highlight w:val="none"/>
                <w:lang w:eastAsia="zh-CN"/>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pacing w:val="-11"/>
                <w:sz w:val="24"/>
                <w:highlight w:val="none"/>
                <w:lang w:eastAsia="zh-CN"/>
              </w:rPr>
              <w:t>长沙市岳麓区梅溪湖国际研发中心6栋</w:t>
            </w:r>
          </w:p>
          <w:p>
            <w:pPr>
              <w:widowControl/>
              <w:adjustRightInd w:val="0"/>
              <w:snapToGrid w:val="0"/>
              <w:spacing w:line="264"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联 系 人：</w:t>
            </w:r>
            <w:r>
              <w:rPr>
                <w:rFonts w:hint="eastAsia" w:ascii="仿宋_GB2312" w:hAnsi="仿宋_GB2312" w:eastAsia="仿宋_GB2312" w:cs="仿宋_GB2312"/>
                <w:color w:val="auto"/>
                <w:sz w:val="24"/>
                <w:highlight w:val="none"/>
                <w:lang w:eastAsia="zh-CN"/>
              </w:rPr>
              <w:t>王瑜</w:t>
            </w:r>
          </w:p>
          <w:p>
            <w:pPr>
              <w:widowControl/>
              <w:adjustRightInd w:val="0"/>
              <w:snapToGrid w:val="0"/>
              <w:spacing w:line="264"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lang w:eastAsia="zh-CN"/>
              </w:rPr>
              <w:t>18674852015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468"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第二章第2.2款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采购代理机构</w:t>
            </w:r>
          </w:p>
        </w:tc>
        <w:tc>
          <w:tcPr>
            <w:tcW w:w="5016" w:type="dxa"/>
            <w:vAlign w:val="center"/>
          </w:tcPr>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名称：湖南天福项目管理有限公司</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地址：长沙市岳麓区金星北路市政府旁恒晟湘江中心A座6楼</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联系人：陈毫</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电话：0731-82159999、18874073773</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02" w:hRule="atLeast"/>
          <w:tblHeader/>
          <w:jc w:val="center"/>
        </w:trPr>
        <w:tc>
          <w:tcPr>
            <w:tcW w:w="1844" w:type="dxa"/>
            <w:tcBorders>
              <w:bottom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第二章第2.3款</w:t>
            </w:r>
          </w:p>
        </w:tc>
        <w:tc>
          <w:tcPr>
            <w:tcW w:w="1985" w:type="dxa"/>
            <w:tcBorders>
              <w:bottom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供应商的邀请方式</w:t>
            </w:r>
          </w:p>
        </w:tc>
        <w:tc>
          <w:tcPr>
            <w:tcW w:w="5016" w:type="dxa"/>
            <w:tcBorders>
              <w:bottom w:val="double" w:color="auto" w:sz="4" w:space="0"/>
            </w:tcBorders>
            <w:vAlign w:val="center"/>
          </w:tcPr>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发布公告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86" w:hRule="atLeast"/>
          <w:tblHeader/>
          <w:jc w:val="center"/>
        </w:trPr>
        <w:tc>
          <w:tcPr>
            <w:tcW w:w="1844" w:type="dxa"/>
            <w:vMerge w:val="restart"/>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第二章第3.1款</w:t>
            </w:r>
          </w:p>
        </w:tc>
        <w:tc>
          <w:tcPr>
            <w:tcW w:w="1985" w:type="dxa"/>
            <w:vMerge w:val="restart"/>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供应商资格条件</w:t>
            </w:r>
          </w:p>
        </w:tc>
        <w:tc>
          <w:tcPr>
            <w:tcW w:w="5016" w:type="dxa"/>
            <w:tcBorders>
              <w:bottom w:val="double" w:color="auto" w:sz="4" w:space="0"/>
            </w:tcBorders>
            <w:vAlign w:val="center"/>
          </w:tcPr>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1、供应商基本资格条件：符合《中华人民共和国政府采购法》第二十二条规定的供应商条件；</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eastAsia="zh-CN"/>
              </w:rPr>
              <w:t>投标人为社会法人单位的，提交企业法人营业执照副本(或者法人登记证书)以及组织机构代码证副本复印件；投标人为事业单位的，提交事业单位法人证书副本及单位组织机构代码证副本复印件</w:t>
            </w:r>
            <w:r>
              <w:rPr>
                <w:rFonts w:hint="eastAsia" w:ascii="仿宋_GB2312" w:hAnsi="仿宋_GB2312" w:eastAsia="仿宋_GB2312" w:cs="仿宋_GB2312"/>
                <w:color w:val="auto"/>
                <w:sz w:val="24"/>
                <w:highlight w:val="none"/>
              </w:rPr>
              <w:t>(或者法人登记证书)以及组织机构代码证副本复印件；</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（2）依法缴纳税收和社会保险费的证明材料，提供下列材料:</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①缴纳税收证明资料:《税务登记证》复印件，或者近三个月依法缴纳税收的证明（纳税凭证复印件</w:t>
            </w:r>
            <w:r>
              <w:rPr>
                <w:rFonts w:hint="eastAsia" w:ascii="仿宋_GB2312" w:hAnsi="仿宋_GB2312" w:eastAsia="仿宋_GB2312" w:cs="仿宋_GB2312"/>
                <w:color w:val="auto"/>
                <w:spacing w:val="-11"/>
                <w:sz w:val="24"/>
                <w:highlight w:val="none"/>
              </w:rPr>
              <w:t>），或者委托</w:t>
            </w:r>
            <w:r>
              <w:rPr>
                <w:rFonts w:hint="eastAsia" w:ascii="仿宋_GB2312" w:hAnsi="仿宋_GB2312" w:eastAsia="仿宋_GB2312" w:cs="仿宋_GB2312"/>
                <w:color w:val="auto"/>
                <w:sz w:val="24"/>
                <w:highlight w:val="none"/>
              </w:rPr>
              <w:t>他人缴纳的委托代办协议和近三个月的缴纳证明（收据复印件），或者法定征收机关出具的依法免缴税收的证明原件。</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②缴纳社会保险证明资料：《社会保险登记证》复印件，或者近三个月依法缴纳社会保险的证明（缴费凭证复印件），或者委托他人缴纳的委托代办协议和近三个月的缴纳证明（收据复印件），或者法定征收机关出具的依法免缴保险费的证明原件。</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（3）法人提交法定代表人身份证明原件或者法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86" w:hRule="atLeast"/>
          <w:tblHeader/>
          <w:jc w:val="center"/>
        </w:trPr>
        <w:tc>
          <w:tcPr>
            <w:tcW w:w="1844" w:type="dxa"/>
            <w:vMerge w:val="continue"/>
            <w:tcBorders>
              <w:bottom w:val="sing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p>
        </w:tc>
        <w:tc>
          <w:tcPr>
            <w:tcW w:w="1985" w:type="dxa"/>
            <w:vMerge w:val="continue"/>
            <w:tcBorders>
              <w:bottom w:val="sing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p>
        </w:tc>
        <w:tc>
          <w:tcPr>
            <w:tcW w:w="5016" w:type="dxa"/>
            <w:tcBorders>
              <w:bottom w:val="single" w:color="auto" w:sz="4" w:space="0"/>
            </w:tcBorders>
            <w:vAlign w:val="center"/>
          </w:tcPr>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定代表人授权委托书原件及提供被授权代表人在投标单位近三个月的社保证明并附法定代表人身份证明原件，自然人提交身份证复印件；</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（4）提供2017年度经会计师事务所审计的财务报告复印件（至少包含资产负债表、利润表和现金流量表）；公司成立不足一年的，提供银行出具的资信证明。</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（5）其他说明(非法人组织参与投标需提供的相关证明材料)。</w:t>
            </w:r>
          </w:p>
          <w:p>
            <w:pPr>
              <w:widowControl/>
              <w:adjustRightInd w:val="0"/>
              <w:snapToGrid w:val="0"/>
              <w:spacing w:line="264"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2、供应商特定资格条件：</w:t>
            </w:r>
            <w:r>
              <w:rPr>
                <w:rFonts w:hint="eastAsia" w:ascii="仿宋_GB2312" w:hAnsi="仿宋_GB2312" w:eastAsia="仿宋_GB2312" w:cs="仿宋_GB2312"/>
                <w:color w:val="auto"/>
                <w:sz w:val="24"/>
                <w:highlight w:val="none"/>
                <w:lang w:eastAsia="zh-CN"/>
              </w:rPr>
              <w:t>无。</w:t>
            </w:r>
          </w:p>
          <w:p>
            <w:pPr>
              <w:widowControl/>
              <w:adjustRightInd w:val="0"/>
              <w:snapToGrid w:val="0"/>
              <w:spacing w:line="264" w:lineRule="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投标人具有实行了“三证合一”登记制度改革的新证，视同为持有工商营业执照、组织机构代码证和税务登记证，符合基本资格条件的相关条款；投标人具有实行了“五证合一”等级制度改革的新证，视同持有工商营业执照、组织机构代码</w:t>
            </w:r>
            <w:r>
              <w:rPr>
                <w:rFonts w:hint="eastAsia" w:ascii="仿宋_GB2312" w:hAnsi="仿宋_GB2312" w:eastAsia="仿宋_GB2312" w:cs="仿宋_GB2312"/>
                <w:color w:val="auto"/>
                <w:spacing w:val="-11"/>
                <w:sz w:val="24"/>
                <w:highlight w:val="none"/>
              </w:rPr>
              <w:t>证、税务登记证、社会</w:t>
            </w:r>
            <w:r>
              <w:rPr>
                <w:rFonts w:hint="eastAsia" w:ascii="仿宋_GB2312" w:hAnsi="仿宋_GB2312" w:eastAsia="仿宋_GB2312" w:cs="仿宋_GB2312"/>
                <w:color w:val="auto"/>
                <w:sz w:val="24"/>
                <w:highlight w:val="none"/>
              </w:rPr>
              <w:t>保险登记证和统计登记证，符合基本资格条件的相关条款。</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4、本项目</w:t>
            </w:r>
            <w:r>
              <w:rPr>
                <w:rFonts w:hint="eastAsia" w:ascii="仿宋_GB2312" w:hAnsi="仿宋_GB2312" w:eastAsia="仿宋_GB2312" w:cs="仿宋_GB2312"/>
                <w:color w:val="auto"/>
                <w:sz w:val="24"/>
                <w:highlight w:val="none"/>
                <w:lang w:eastAsia="zh-CN"/>
              </w:rPr>
              <w:t>不</w:t>
            </w:r>
            <w:r>
              <w:rPr>
                <w:rFonts w:hint="eastAsia" w:ascii="仿宋_GB2312" w:hAnsi="仿宋_GB2312" w:eastAsia="仿宋_GB2312" w:cs="仿宋_GB2312"/>
                <w:color w:val="auto"/>
                <w:sz w:val="24"/>
                <w:highlight w:val="none"/>
              </w:rPr>
              <w:t>接受联合体投标。</w:t>
            </w:r>
          </w:p>
          <w:p>
            <w:pPr>
              <w:widowControl/>
              <w:adjustRightInd w:val="0"/>
              <w:snapToGrid w:val="0"/>
              <w:spacing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5、资格证明文件复印件须加盖投标人公章。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26" w:hRule="atLeast"/>
          <w:tblHeader/>
          <w:jc w:val="center"/>
        </w:trPr>
        <w:tc>
          <w:tcPr>
            <w:tcW w:w="1844" w:type="dxa"/>
            <w:tcBorders>
              <w:top w:val="single" w:color="auto" w:sz="4" w:space="0"/>
              <w:left w:val="single" w:color="auto" w:sz="4" w:space="0"/>
              <w:bottom w:val="sing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第二章第6.1款</w:t>
            </w:r>
          </w:p>
        </w:tc>
        <w:tc>
          <w:tcPr>
            <w:tcW w:w="1985" w:type="dxa"/>
            <w:tcBorders>
              <w:top w:val="single" w:color="auto" w:sz="4" w:space="0"/>
              <w:bottom w:val="sing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联合体形式</w:t>
            </w:r>
          </w:p>
        </w:tc>
        <w:tc>
          <w:tcPr>
            <w:tcW w:w="5016" w:type="dxa"/>
            <w:tcBorders>
              <w:top w:val="single" w:color="auto" w:sz="4" w:space="0"/>
              <w:bottom w:val="single" w:color="auto" w:sz="4" w:space="0"/>
              <w:right w:val="single" w:color="auto" w:sz="4" w:space="0"/>
            </w:tcBorders>
            <w:vAlign w:val="center"/>
          </w:tcPr>
          <w:p>
            <w:pPr>
              <w:widowControl/>
              <w:adjustRightInd w:val="0"/>
              <w:snapToGrid w:val="0"/>
              <w:spacing w:beforeLines="20" w:afterLines="20" w:line="264"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本项目</w:t>
            </w:r>
            <w:r>
              <w:rPr>
                <w:rFonts w:hint="eastAsia" w:ascii="仿宋_GB2312" w:hAnsi="仿宋_GB2312" w:eastAsia="仿宋_GB2312" w:cs="仿宋_GB2312"/>
                <w:color w:val="auto"/>
                <w:sz w:val="24"/>
                <w:highlight w:val="none"/>
                <w:lang w:eastAsia="zh-CN"/>
              </w:rPr>
              <w:t>不</w:t>
            </w:r>
            <w:r>
              <w:rPr>
                <w:rFonts w:hint="eastAsia" w:ascii="仿宋_GB2312" w:hAnsi="仿宋_GB2312" w:eastAsia="仿宋_GB2312" w:cs="仿宋_GB2312"/>
                <w:color w:val="auto"/>
                <w:sz w:val="24"/>
                <w:highlight w:val="none"/>
              </w:rPr>
              <w:t>接受联合体投标</w:t>
            </w:r>
            <w:r>
              <w:rPr>
                <w:rFonts w:hint="eastAsia" w:ascii="仿宋_GB2312" w:hAnsi="仿宋_GB2312" w:eastAsia="仿宋_GB2312" w:cs="仿宋_GB2312"/>
                <w:color w:val="auto"/>
                <w:sz w:val="24"/>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07" w:hRule="atLeast"/>
          <w:tblHeader/>
          <w:jc w:val="center"/>
        </w:trPr>
        <w:tc>
          <w:tcPr>
            <w:tcW w:w="1844" w:type="dxa"/>
            <w:tcBorders>
              <w:top w:val="sing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第二章第7.1款</w:t>
            </w:r>
          </w:p>
        </w:tc>
        <w:tc>
          <w:tcPr>
            <w:tcW w:w="1985" w:type="dxa"/>
            <w:tcBorders>
              <w:top w:val="sing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现场勘察</w:t>
            </w:r>
          </w:p>
        </w:tc>
        <w:tc>
          <w:tcPr>
            <w:tcW w:w="5016" w:type="dxa"/>
            <w:tcBorders>
              <w:top w:val="single" w:color="auto" w:sz="4" w:space="0"/>
            </w:tcBorders>
            <w:vAlign w:val="center"/>
          </w:tcPr>
          <w:p>
            <w:pPr>
              <w:widowControl/>
              <w:adjustRightInd w:val="0"/>
              <w:snapToGrid w:val="0"/>
              <w:spacing w:beforeLines="20" w:afterLines="20"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采购人不组织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201"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8"/>
                <w:sz w:val="24"/>
                <w:highlight w:val="none"/>
              </w:rPr>
            </w:pPr>
            <w:r>
              <w:rPr>
                <w:rFonts w:hint="eastAsia" w:ascii="仿宋_GB2312" w:hAnsi="仿宋_GB2312" w:eastAsia="仿宋_GB2312" w:cs="仿宋_GB2312"/>
                <w:color w:val="auto"/>
                <w:spacing w:val="-8"/>
                <w:sz w:val="24"/>
                <w:highlight w:val="none"/>
              </w:rPr>
              <w:t>第二章第9.2款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2"/>
                <w:sz w:val="24"/>
                <w:highlight w:val="none"/>
              </w:rPr>
            </w:pPr>
            <w:r>
              <w:rPr>
                <w:rFonts w:hint="eastAsia" w:ascii="仿宋_GB2312" w:hAnsi="仿宋_GB2312" w:eastAsia="仿宋_GB2312" w:cs="仿宋_GB2312"/>
                <w:color w:val="auto"/>
                <w:spacing w:val="-12"/>
                <w:sz w:val="24"/>
                <w:highlight w:val="none"/>
              </w:rPr>
              <w:t>政府采购优先</w:t>
            </w:r>
          </w:p>
          <w:p>
            <w:pPr>
              <w:widowControl/>
              <w:adjustRightInd w:val="0"/>
              <w:snapToGrid w:val="0"/>
              <w:spacing w:beforeLines="20" w:afterLines="20" w:line="288" w:lineRule="auto"/>
              <w:jc w:val="center"/>
              <w:rPr>
                <w:rFonts w:hint="eastAsia" w:ascii="仿宋_GB2312" w:hAnsi="仿宋_GB2312" w:eastAsia="仿宋_GB2312" w:cs="仿宋_GB2312"/>
                <w:color w:val="auto"/>
                <w:spacing w:val="-12"/>
                <w:sz w:val="24"/>
                <w:highlight w:val="none"/>
              </w:rPr>
            </w:pPr>
            <w:r>
              <w:rPr>
                <w:rFonts w:hint="eastAsia" w:ascii="仿宋_GB2312" w:hAnsi="仿宋_GB2312" w:eastAsia="仿宋_GB2312" w:cs="仿宋_GB2312"/>
                <w:color w:val="auto"/>
                <w:spacing w:val="-12"/>
                <w:sz w:val="24"/>
                <w:highlight w:val="none"/>
              </w:rPr>
              <w:t>采购</w:t>
            </w:r>
          </w:p>
        </w:tc>
        <w:tc>
          <w:tcPr>
            <w:tcW w:w="5016" w:type="dxa"/>
            <w:vAlign w:val="center"/>
          </w:tcPr>
          <w:p>
            <w:pPr>
              <w:widowControl/>
              <w:adjustRightInd w:val="0"/>
              <w:snapToGrid w:val="0"/>
              <w:spacing w:beforeLines="20" w:afterLines="20"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kern w:val="0"/>
                <w:sz w:val="24"/>
                <w:highlight w:val="none"/>
              </w:rPr>
              <w:t>支持</w:t>
            </w:r>
            <w:r>
              <w:rPr>
                <w:rFonts w:hint="eastAsia" w:ascii="仿宋_GB2312" w:hAnsi="仿宋_GB2312" w:eastAsia="仿宋_GB2312" w:cs="仿宋_GB2312"/>
                <w:color w:val="auto"/>
                <w:sz w:val="24"/>
                <w:highlight w:val="none"/>
              </w:rPr>
              <w:t>小企业发展：</w:t>
            </w:r>
          </w:p>
          <w:p>
            <w:pPr>
              <w:widowControl/>
              <w:adjustRightInd w:val="0"/>
              <w:snapToGrid w:val="0"/>
              <w:spacing w:beforeLines="20" w:afterLines="20"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（1）给予小型和微型企业产品的价格给予6%-10%的扣除，用扣除后的价格参与评审，本项目具体扣除比例为</w:t>
            </w:r>
            <w:r>
              <w:rPr>
                <w:rFonts w:hint="eastAsia" w:ascii="仿宋_GB2312" w:hAnsi="仿宋_GB2312" w:eastAsia="仿宋_GB2312" w:cs="仿宋_GB2312"/>
                <w:color w:val="auto"/>
                <w:sz w:val="24"/>
                <w:highlight w:val="none"/>
                <w:u w:val="single"/>
              </w:rPr>
              <w:t xml:space="preserve"> 6 </w:t>
            </w:r>
            <w:r>
              <w:rPr>
                <w:rFonts w:hint="eastAsia" w:ascii="仿宋_GB2312" w:hAnsi="仿宋_GB2312" w:eastAsia="仿宋_GB2312" w:cs="仿宋_GB2312"/>
                <w:color w:val="auto"/>
                <w:sz w:val="24"/>
                <w:highlight w:val="none"/>
              </w:rPr>
              <w:t>％。</w:t>
            </w:r>
          </w:p>
          <w:p>
            <w:pPr>
              <w:widowControl/>
              <w:adjustRightInd w:val="0"/>
              <w:snapToGrid w:val="0"/>
              <w:spacing w:beforeLines="20" w:afterLines="20" w:line="264"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5"/>
                <w:sz w:val="24"/>
                <w:highlight w:val="none"/>
              </w:rPr>
              <w:t>（2）给予联合体2%-3%的价格扣除，用扣除后的价格参与评审，本项目具体扣除比例为</w:t>
            </w:r>
            <w:r>
              <w:rPr>
                <w:rFonts w:hint="eastAsia" w:ascii="仿宋_GB2312" w:hAnsi="仿宋_GB2312" w:eastAsia="仿宋_GB2312" w:cs="仿宋_GB2312"/>
                <w:color w:val="auto"/>
                <w:spacing w:val="-5"/>
                <w:sz w:val="24"/>
                <w:highlight w:val="none"/>
                <w:u w:val="single"/>
                <w:lang w:val="en-US" w:eastAsia="zh-CN"/>
              </w:rPr>
              <w:t>/</w:t>
            </w:r>
            <w:r>
              <w:rPr>
                <w:rFonts w:hint="eastAsia" w:ascii="仿宋_GB2312" w:hAnsi="仿宋_GB2312" w:eastAsia="仿宋_GB2312" w:cs="仿宋_GB2312"/>
                <w:color w:val="auto"/>
                <w:spacing w:val="-5"/>
                <w:sz w:val="24"/>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二、磋商文件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1"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第二章第10.2款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磋商文件的可能实质性变动内容</w:t>
            </w:r>
          </w:p>
        </w:tc>
        <w:tc>
          <w:tcPr>
            <w:tcW w:w="5016" w:type="dxa"/>
            <w:vAlign w:val="center"/>
          </w:tcPr>
          <w:p>
            <w:pPr>
              <w:widowControl/>
              <w:adjustRightInd w:val="0"/>
              <w:snapToGrid w:val="0"/>
              <w:spacing w:beforeLines="20" w:afterLines="20" w:line="288"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73"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第二章第11.1款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0"/>
                <w:sz w:val="24"/>
                <w:highlight w:val="none"/>
              </w:rPr>
            </w:pPr>
            <w:r>
              <w:rPr>
                <w:rFonts w:hint="eastAsia" w:ascii="仿宋_GB2312" w:hAnsi="仿宋_GB2312" w:eastAsia="仿宋_GB2312" w:cs="仿宋_GB2312"/>
                <w:color w:val="auto"/>
                <w:spacing w:val="-10"/>
                <w:sz w:val="24"/>
                <w:highlight w:val="none"/>
              </w:rPr>
              <w:t>提供磋商文件</w:t>
            </w:r>
          </w:p>
          <w:p>
            <w:pPr>
              <w:widowControl/>
              <w:adjustRightInd w:val="0"/>
              <w:snapToGrid w:val="0"/>
              <w:spacing w:beforeLines="20" w:afterLines="20" w:line="288" w:lineRule="auto"/>
              <w:jc w:val="center"/>
              <w:rPr>
                <w:rFonts w:hint="eastAsia" w:ascii="仿宋_GB2312" w:hAnsi="仿宋_GB2312" w:eastAsia="仿宋_GB2312" w:cs="仿宋_GB2312"/>
                <w:color w:val="auto"/>
                <w:spacing w:val="-10"/>
                <w:sz w:val="24"/>
                <w:highlight w:val="none"/>
              </w:rPr>
            </w:pPr>
            <w:r>
              <w:rPr>
                <w:rFonts w:hint="eastAsia" w:ascii="仿宋_GB2312" w:hAnsi="仿宋_GB2312" w:eastAsia="仿宋_GB2312" w:cs="仿宋_GB2312"/>
                <w:color w:val="auto"/>
                <w:spacing w:val="-10"/>
                <w:sz w:val="24"/>
                <w:highlight w:val="none"/>
              </w:rPr>
              <w:t>期限</w:t>
            </w:r>
          </w:p>
        </w:tc>
        <w:tc>
          <w:tcPr>
            <w:tcW w:w="5016" w:type="dxa"/>
            <w:vAlign w:val="center"/>
          </w:tcPr>
          <w:p>
            <w:pPr>
              <w:widowControl/>
              <w:adjustRightInd w:val="0"/>
              <w:snapToGrid w:val="0"/>
              <w:spacing w:beforeLines="20" w:afterLines="20" w:line="288"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rPr>
              <w:t>2018</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lang w:val="en-US" w:eastAsia="zh-CN"/>
              </w:rPr>
              <w:t>11</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lang w:val="en-US" w:eastAsia="zh-CN"/>
              </w:rPr>
              <w:t>23</w:t>
            </w:r>
            <w:r>
              <w:rPr>
                <w:rFonts w:hint="eastAsia" w:ascii="仿宋_GB2312" w:hAnsi="仿宋_GB2312" w:eastAsia="仿宋_GB2312" w:cs="仿宋_GB2312"/>
                <w:color w:val="auto"/>
                <w:sz w:val="24"/>
                <w:highlight w:val="none"/>
              </w:rPr>
              <w:t>日至</w:t>
            </w:r>
            <w:r>
              <w:rPr>
                <w:rFonts w:hint="eastAsia" w:ascii="仿宋_GB2312" w:hAnsi="仿宋_GB2312" w:eastAsia="仿宋_GB2312" w:cs="仿宋_GB2312"/>
                <w:color w:val="auto"/>
                <w:sz w:val="24"/>
                <w:highlight w:val="none"/>
                <w:u w:val="single"/>
              </w:rPr>
              <w:t>2018</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lang w:val="en-US" w:eastAsia="zh-CN"/>
              </w:rPr>
              <w:t>11</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lang w:val="en-US" w:eastAsia="zh-CN"/>
              </w:rPr>
              <w:t>29</w:t>
            </w:r>
            <w:r>
              <w:rPr>
                <w:rFonts w:hint="eastAsia" w:ascii="仿宋_GB2312" w:hAnsi="仿宋_GB2312" w:eastAsia="仿宋_GB2312" w:cs="仿宋_GB2312"/>
                <w:color w:val="auto"/>
                <w:sz w:val="24"/>
                <w:highlight w:val="none"/>
              </w:rPr>
              <w:t>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第二章第11.2款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领取磋商文件时应提供的资料</w:t>
            </w:r>
          </w:p>
        </w:tc>
        <w:tc>
          <w:tcPr>
            <w:tcW w:w="5016" w:type="dxa"/>
            <w:vAlign w:val="center"/>
          </w:tcPr>
          <w:p>
            <w:pPr>
              <w:widowControl/>
              <w:adjustRightInd w:val="0"/>
              <w:snapToGrid w:val="0"/>
              <w:spacing w:beforeLines="20" w:afterLines="20" w:line="288" w:lineRule="auto"/>
              <w:jc w:val="left"/>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个人身份证、法定代表人身份证明(或者授权委托书并附法定代表人身份证明)。</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05"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第二章第12.1款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提交首次响应文件的截止时间</w:t>
            </w:r>
          </w:p>
        </w:tc>
        <w:tc>
          <w:tcPr>
            <w:tcW w:w="5016" w:type="dxa"/>
            <w:vAlign w:val="center"/>
          </w:tcPr>
          <w:p>
            <w:pPr>
              <w:widowControl/>
              <w:adjustRightInd w:val="0"/>
              <w:snapToGrid w:val="0"/>
              <w:spacing w:beforeLines="20" w:afterLines="20" w:line="288"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rPr>
              <w:t>2018</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lang w:val="en-US" w:eastAsia="zh-CN"/>
              </w:rPr>
              <w:t>12</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lang w:val="en-US" w:eastAsia="zh-CN"/>
              </w:rPr>
              <w:t xml:space="preserve"> 4</w:t>
            </w:r>
            <w:r>
              <w:rPr>
                <w:rFonts w:hint="eastAsia" w:ascii="仿宋_GB2312" w:hAnsi="仿宋_GB2312" w:eastAsia="仿宋_GB2312" w:cs="仿宋_GB2312"/>
                <w:color w:val="auto"/>
                <w:sz w:val="24"/>
                <w:highlight w:val="none"/>
              </w:rPr>
              <w:t>日</w:t>
            </w:r>
            <w:r>
              <w:rPr>
                <w:rFonts w:hint="eastAsia" w:ascii="仿宋_GB2312" w:hAnsi="仿宋_GB2312" w:eastAsia="仿宋_GB2312" w:cs="仿宋_GB2312"/>
                <w:color w:val="auto"/>
                <w:sz w:val="24"/>
                <w:highlight w:val="none"/>
                <w:u w:val="single"/>
              </w:rPr>
              <w:t>14</w:t>
            </w:r>
            <w:r>
              <w:rPr>
                <w:rFonts w:hint="eastAsia" w:ascii="仿宋_GB2312" w:hAnsi="仿宋_GB2312" w:eastAsia="仿宋_GB2312" w:cs="仿宋_GB2312"/>
                <w:color w:val="auto"/>
                <w:sz w:val="24"/>
                <w:highlight w:val="none"/>
              </w:rPr>
              <w:t>时</w:t>
            </w:r>
            <w:r>
              <w:rPr>
                <w:rFonts w:hint="eastAsia" w:ascii="仿宋_GB2312" w:hAnsi="仿宋_GB2312" w:eastAsia="仿宋_GB2312" w:cs="仿宋_GB2312"/>
                <w:color w:val="auto"/>
                <w:sz w:val="24"/>
                <w:highlight w:val="none"/>
                <w:u w:val="single"/>
              </w:rPr>
              <w:t>00</w:t>
            </w:r>
            <w:r>
              <w:rPr>
                <w:rFonts w:hint="eastAsia" w:ascii="仿宋_GB2312" w:hAnsi="仿宋_GB2312" w:eastAsia="仿宋_GB2312" w:cs="仿宋_GB2312"/>
                <w:color w:val="auto"/>
                <w:sz w:val="24"/>
                <w:highlight w:val="none"/>
              </w:rPr>
              <w:t>分(北京时间)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三、响应文件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0"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第二章第16.4款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采购项目预算</w:t>
            </w:r>
          </w:p>
        </w:tc>
        <w:tc>
          <w:tcPr>
            <w:tcW w:w="5016" w:type="dxa"/>
            <w:vAlign w:val="center"/>
          </w:tcPr>
          <w:p>
            <w:pPr>
              <w:widowControl/>
              <w:adjustRightInd w:val="0"/>
              <w:snapToGrid w:val="0"/>
              <w:spacing w:line="360" w:lineRule="exac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Cs/>
                <w:color w:val="auto"/>
                <w:sz w:val="24"/>
                <w:highlight w:val="none"/>
                <w:lang w:eastAsia="zh-CN"/>
              </w:rPr>
              <w:t>35万元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699"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第二章第19.1款</w:t>
            </w:r>
          </w:p>
        </w:tc>
        <w:tc>
          <w:tcPr>
            <w:tcW w:w="1985" w:type="dxa"/>
            <w:vAlign w:val="center"/>
          </w:tcPr>
          <w:p>
            <w:pPr>
              <w:widowControl/>
              <w:adjustRightInd w:val="0"/>
              <w:snapToGrid w:val="0"/>
              <w:spacing w:beforeLines="20" w:afterLines="20" w:line="288" w:lineRule="auto"/>
              <w:ind w:left="-533" w:leftChars="-254" w:firstLine="609" w:firstLineChars="254"/>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磋商保证金</w:t>
            </w:r>
          </w:p>
        </w:tc>
        <w:tc>
          <w:tcPr>
            <w:tcW w:w="5016" w:type="dxa"/>
            <w:tcBorders>
              <w:bottom w:val="single" w:color="auto" w:sz="4" w:space="0"/>
            </w:tcBorders>
            <w:vAlign w:val="center"/>
          </w:tcPr>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磋商保证金汇至：</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1、保证金数额：</w:t>
            </w:r>
            <w:r>
              <w:rPr>
                <w:rFonts w:hint="eastAsia" w:ascii="仿宋_GB2312" w:hAnsi="仿宋_GB2312" w:eastAsia="仿宋_GB2312" w:cs="仿宋_GB2312"/>
                <w:color w:val="auto"/>
                <w:sz w:val="24"/>
                <w:highlight w:val="none"/>
                <w:lang w:val="en-US" w:eastAsia="zh-CN"/>
              </w:rPr>
              <w:t>6000</w:t>
            </w:r>
            <w:r>
              <w:rPr>
                <w:rFonts w:hint="eastAsia" w:ascii="仿宋_GB2312" w:hAnsi="仿宋_GB2312" w:eastAsia="仿宋_GB2312" w:cs="仿宋_GB2312"/>
                <w:color w:val="auto"/>
                <w:sz w:val="24"/>
                <w:highlight w:val="none"/>
              </w:rPr>
              <w:t>元(人民币)</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2、缴纳方式：</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以支票、汇票、本票等形式从投标人基本账户一次足额缴入如下账户，在投标截止时间前查询已经到账，视为已缴纳。</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账户名：湖南天福项目管理有限公司政府采购保证金专户</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账号：8002 8401 7809 015</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开户行：长沙银行浏阳河支行</w:t>
            </w:r>
          </w:p>
          <w:p>
            <w:pPr>
              <w:widowControl/>
              <w:adjustRightInd w:val="0"/>
              <w:snapToGrid w:val="0"/>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行号：313551094026</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第二章第20.1款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响应文件有效期</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color w:val="auto"/>
                <w:sz w:val="24"/>
                <w:highlight w:val="none"/>
                <w:u w:val="single"/>
              </w:rPr>
              <w:t>120</w:t>
            </w:r>
            <w:r>
              <w:rPr>
                <w:rFonts w:hint="eastAsia" w:ascii="仿宋_GB2312" w:hAnsi="仿宋_GB2312" w:eastAsia="仿宋_GB2312" w:cs="仿宋_GB2312"/>
                <w:color w:val="auto"/>
                <w:sz w:val="24"/>
                <w:highlight w:val="none"/>
              </w:rPr>
              <w:t>日（日历日）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89"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第二章第21.1款</w:t>
            </w:r>
          </w:p>
        </w:tc>
        <w:tc>
          <w:tcPr>
            <w:tcW w:w="1985" w:type="dxa"/>
            <w:vAlign w:val="center"/>
          </w:tcPr>
          <w:p>
            <w:pPr>
              <w:widowControl/>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响应</w:t>
            </w:r>
            <w:r>
              <w:rPr>
                <w:rFonts w:hint="eastAsia" w:ascii="仿宋_GB2312" w:hAnsi="仿宋_GB2312" w:eastAsia="仿宋_GB2312" w:cs="仿宋_GB2312"/>
                <w:color w:val="auto"/>
                <w:sz w:val="24"/>
                <w:highlight w:val="none"/>
              </w:rPr>
              <w:t>文件</w:t>
            </w:r>
          </w:p>
          <w:p>
            <w:pPr>
              <w:widowControl/>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份数</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u w:val="single"/>
              </w:rPr>
              <w:t>叁</w:t>
            </w:r>
            <w:r>
              <w:rPr>
                <w:rFonts w:hint="eastAsia" w:ascii="仿宋_GB2312" w:hAnsi="仿宋_GB2312" w:eastAsia="仿宋_GB2312" w:cs="仿宋_GB2312"/>
                <w:color w:val="auto"/>
                <w:sz w:val="24"/>
                <w:highlight w:val="none"/>
              </w:rPr>
              <w:t>份。正本：</w:t>
            </w:r>
            <w:r>
              <w:rPr>
                <w:rFonts w:hint="eastAsia" w:ascii="仿宋_GB2312" w:hAnsi="仿宋_GB2312" w:eastAsia="仿宋_GB2312" w:cs="仿宋_GB2312"/>
                <w:color w:val="auto"/>
                <w:sz w:val="24"/>
                <w:highlight w:val="none"/>
                <w:u w:val="single"/>
              </w:rPr>
              <w:t>壹</w:t>
            </w:r>
            <w:r>
              <w:rPr>
                <w:rFonts w:hint="eastAsia" w:ascii="仿宋_GB2312" w:hAnsi="仿宋_GB2312" w:eastAsia="仿宋_GB2312" w:cs="仿宋_GB2312"/>
                <w:color w:val="auto"/>
                <w:sz w:val="24"/>
                <w:highlight w:val="none"/>
              </w:rPr>
              <w:t>份、副本：</w:t>
            </w:r>
            <w:r>
              <w:rPr>
                <w:rFonts w:hint="eastAsia" w:ascii="仿宋_GB2312" w:hAnsi="仿宋_GB2312" w:eastAsia="仿宋_GB2312" w:cs="仿宋_GB2312"/>
                <w:color w:val="auto"/>
                <w:sz w:val="24"/>
                <w:highlight w:val="none"/>
                <w:u w:val="single"/>
              </w:rPr>
              <w:t>贰</w:t>
            </w:r>
            <w:r>
              <w:rPr>
                <w:rFonts w:hint="eastAsia" w:ascii="仿宋_GB2312" w:hAnsi="仿宋_GB2312" w:eastAsia="仿宋_GB2312" w:cs="仿宋_GB2312"/>
                <w:color w:val="auto"/>
                <w:sz w:val="24"/>
                <w:highlight w:val="none"/>
              </w:rPr>
              <w:t>份、电子文件：</w:t>
            </w:r>
            <w:r>
              <w:rPr>
                <w:rFonts w:hint="eastAsia" w:ascii="仿宋_GB2312" w:hAnsi="仿宋_GB2312" w:eastAsia="仿宋_GB2312" w:cs="仿宋_GB2312"/>
                <w:color w:val="auto"/>
                <w:sz w:val="24"/>
                <w:highlight w:val="none"/>
                <w:u w:val="single"/>
              </w:rPr>
              <w:t>壹</w:t>
            </w:r>
            <w:r>
              <w:rPr>
                <w:rFonts w:hint="eastAsia" w:ascii="仿宋_GB2312" w:hAnsi="仿宋_GB2312" w:eastAsia="仿宋_GB2312" w:cs="仿宋_GB2312"/>
                <w:color w:val="auto"/>
                <w:sz w:val="24"/>
                <w:highlight w:val="none"/>
              </w:rPr>
              <w:t>份（须为U盘）。副本可为正本复印件，正副本均可双面打印，响应文件须胶装成册。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四、响应文件的递交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243"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第二章第22.2款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封套上应载明的信息</w:t>
            </w:r>
          </w:p>
        </w:tc>
        <w:tc>
          <w:tcPr>
            <w:tcW w:w="5016" w:type="dxa"/>
            <w:vAlign w:val="center"/>
          </w:tcPr>
          <w:p>
            <w:pPr>
              <w:widowControl/>
              <w:adjustRightInd w:val="0"/>
              <w:snapToGrid w:val="0"/>
              <w:spacing w:line="440" w:lineRule="exact"/>
              <w:jc w:val="left"/>
              <w:rPr>
                <w:rFonts w:hint="eastAsia" w:ascii="仿宋_GB2312" w:hAnsi="仿宋_GB2312" w:eastAsia="仿宋_GB2312" w:cs="仿宋_GB2312"/>
                <w:color w:val="auto"/>
                <w:spacing w:val="-11"/>
                <w:sz w:val="24"/>
                <w:highlight w:val="none"/>
              </w:rPr>
            </w:pPr>
            <w:r>
              <w:rPr>
                <w:rFonts w:hint="eastAsia" w:ascii="仿宋_GB2312" w:hAnsi="仿宋_GB2312" w:eastAsia="仿宋_GB2312" w:cs="仿宋_GB2312"/>
                <w:color w:val="auto"/>
                <w:spacing w:val="-11"/>
                <w:sz w:val="24"/>
                <w:highlight w:val="none"/>
                <w:u w:val="single"/>
                <w:lang w:eastAsia="zh-CN"/>
              </w:rPr>
              <w:t>湖南湘江新区管理委员会财政局湖南金融中心三维演示系统（二期）更新项目</w:t>
            </w:r>
            <w:r>
              <w:rPr>
                <w:rFonts w:hint="eastAsia" w:ascii="仿宋_GB2312" w:hAnsi="仿宋_GB2312" w:eastAsia="仿宋_GB2312" w:cs="仿宋_GB2312"/>
                <w:color w:val="auto"/>
                <w:spacing w:val="-11"/>
                <w:sz w:val="24"/>
                <w:highlight w:val="none"/>
              </w:rPr>
              <w:t>竞争性磋商响应文件</w:t>
            </w:r>
          </w:p>
          <w:p>
            <w:pPr>
              <w:widowControl/>
              <w:adjustRightInd w:val="0"/>
              <w:snapToGrid w:val="0"/>
              <w:spacing w:line="440" w:lineRule="exact"/>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政府采购编号：</w:t>
            </w:r>
            <w:r>
              <w:rPr>
                <w:rFonts w:hint="eastAsia" w:ascii="仿宋_GB2312" w:hAnsi="仿宋_GB2312" w:eastAsia="仿宋_GB2312" w:cs="仿宋_GB2312"/>
                <w:color w:val="auto"/>
                <w:sz w:val="24"/>
                <w:highlight w:val="none"/>
                <w:u w:val="single"/>
                <w:lang w:eastAsia="zh-CN"/>
              </w:rPr>
              <w:t>湘新财采计—JC201811003</w:t>
            </w:r>
          </w:p>
          <w:p>
            <w:pPr>
              <w:widowControl/>
              <w:adjustRightInd w:val="0"/>
              <w:snapToGrid w:val="0"/>
              <w:spacing w:line="440" w:lineRule="exact"/>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采购代理机构编号：</w:t>
            </w:r>
            <w:r>
              <w:rPr>
                <w:rFonts w:hint="eastAsia" w:ascii="仿宋_GB2312" w:hAnsi="仿宋_GB2312" w:eastAsia="仿宋_GB2312" w:cs="仿宋_GB2312"/>
                <w:color w:val="auto"/>
                <w:sz w:val="24"/>
                <w:highlight w:val="none"/>
                <w:u w:val="single"/>
                <w:lang w:eastAsia="zh-CN"/>
              </w:rPr>
              <w:t>HNTFCG20181007</w:t>
            </w:r>
          </w:p>
          <w:p>
            <w:pPr>
              <w:widowControl/>
              <w:adjustRightInd w:val="0"/>
              <w:snapToGrid w:val="0"/>
              <w:spacing w:line="44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w:t>
            </w:r>
            <w:r>
              <w:rPr>
                <w:rFonts w:hint="eastAsia" w:ascii="仿宋_GB2312" w:hAnsi="仿宋_GB2312" w:eastAsia="仿宋_GB2312" w:cs="仿宋_GB2312"/>
                <w:color w:val="auto"/>
                <w:sz w:val="24"/>
                <w:highlight w:val="none"/>
                <w:u w:val="single"/>
              </w:rPr>
              <w:t>2018</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lang w:val="en-US" w:eastAsia="zh-CN"/>
              </w:rPr>
              <w:t>12</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lang w:val="en-US" w:eastAsia="zh-CN"/>
              </w:rPr>
              <w:t>4</w:t>
            </w:r>
            <w:r>
              <w:rPr>
                <w:rFonts w:hint="eastAsia" w:ascii="仿宋_GB2312" w:hAnsi="仿宋_GB2312" w:eastAsia="仿宋_GB2312" w:cs="仿宋_GB2312"/>
                <w:color w:val="auto"/>
                <w:sz w:val="24"/>
                <w:highlight w:val="none"/>
              </w:rPr>
              <w:t>日</w:t>
            </w:r>
            <w:r>
              <w:rPr>
                <w:rFonts w:hint="eastAsia" w:ascii="仿宋_GB2312" w:hAnsi="仿宋_GB2312" w:eastAsia="仿宋_GB2312" w:cs="仿宋_GB2312"/>
                <w:color w:val="auto"/>
                <w:sz w:val="24"/>
                <w:highlight w:val="none"/>
                <w:u w:val="single"/>
              </w:rPr>
              <w:t>14</w:t>
            </w:r>
            <w:r>
              <w:rPr>
                <w:rFonts w:hint="eastAsia" w:ascii="仿宋_GB2312" w:hAnsi="仿宋_GB2312" w:eastAsia="仿宋_GB2312" w:cs="仿宋_GB2312"/>
                <w:color w:val="auto"/>
                <w:sz w:val="24"/>
                <w:highlight w:val="none"/>
              </w:rPr>
              <w:t>时</w:t>
            </w:r>
            <w:r>
              <w:rPr>
                <w:rFonts w:hint="eastAsia" w:ascii="仿宋_GB2312" w:hAnsi="仿宋_GB2312" w:eastAsia="仿宋_GB2312" w:cs="仿宋_GB2312"/>
                <w:color w:val="auto"/>
                <w:sz w:val="24"/>
                <w:highlight w:val="none"/>
                <w:u w:val="single"/>
              </w:rPr>
              <w:t>00</w:t>
            </w:r>
            <w:r>
              <w:rPr>
                <w:rFonts w:hint="eastAsia" w:ascii="仿宋_GB2312" w:hAnsi="仿宋_GB2312" w:eastAsia="仿宋_GB2312" w:cs="仿宋_GB2312"/>
                <w:color w:val="auto"/>
                <w:sz w:val="24"/>
                <w:highlight w:val="none"/>
              </w:rPr>
              <w:t>分之前不得启封</w:t>
            </w:r>
          </w:p>
          <w:p>
            <w:pPr>
              <w:widowControl/>
              <w:adjustRightInd w:val="0"/>
              <w:snapToGrid w:val="0"/>
              <w:spacing w:line="44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投标人：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第二章第24.1款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响应文件的递交地点</w:t>
            </w:r>
          </w:p>
        </w:tc>
        <w:tc>
          <w:tcPr>
            <w:tcW w:w="5016" w:type="dxa"/>
            <w:vAlign w:val="center"/>
          </w:tcPr>
          <w:p>
            <w:pPr>
              <w:widowControl/>
              <w:adjustRightInd w:val="0"/>
              <w:snapToGrid w:val="0"/>
              <w:spacing w:beforeLines="20" w:line="288"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长沙市岳麓区金星北路市政府旁恒晟湘江中心A座6楼开标室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五、响应文件的磋商与评审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82"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第二章第31.2款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评审因素和标准</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见附页1。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766"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第二章第31.3款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最后报价</w:t>
            </w:r>
            <w:r>
              <w:rPr>
                <w:rFonts w:hint="eastAsia" w:ascii="仿宋_GB2312" w:hAnsi="仿宋_GB2312" w:eastAsia="仿宋_GB2312" w:cs="仿宋_GB2312"/>
                <w:color w:val="auto"/>
                <w:sz w:val="24"/>
                <w:highlight w:val="none"/>
              </w:rPr>
              <w:t>调整</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kern w:val="0"/>
                <w:sz w:val="24"/>
                <w:highlight w:val="none"/>
              </w:rPr>
              <w:t>政府采购支持中小企业发展</w:t>
            </w:r>
            <w:r>
              <w:rPr>
                <w:rFonts w:hint="eastAsia" w:ascii="仿宋_GB2312" w:hAnsi="仿宋_GB2312" w:eastAsia="仿宋_GB2312" w:cs="仿宋_GB2312"/>
                <w:color w:val="auto"/>
                <w:sz w:val="24"/>
                <w:highlight w:val="none"/>
              </w:rPr>
              <w:t>（货物类供应商和产品制造商应同时满足中小微企业的条件）</w:t>
            </w:r>
            <w:r>
              <w:rPr>
                <w:rFonts w:hint="eastAsia" w:ascii="仿宋_GB2312" w:hAnsi="仿宋_GB2312" w:eastAsia="仿宋_GB2312" w:cs="仿宋_GB2312"/>
                <w:bCs/>
                <w:color w:val="auto"/>
                <w:kern w:val="0"/>
                <w:sz w:val="24"/>
                <w:highlight w:val="none"/>
              </w:rPr>
              <w:t>：</w:t>
            </w:r>
            <w:r>
              <w:rPr>
                <w:rFonts w:hint="eastAsia" w:ascii="仿宋_GB2312" w:hAnsi="仿宋_GB2312" w:eastAsia="仿宋_GB2312" w:cs="仿宋_GB2312"/>
                <w:color w:val="auto"/>
                <w:sz w:val="24"/>
                <w:highlight w:val="none"/>
              </w:rPr>
              <w:t>小型或微型企业，</w:t>
            </w:r>
            <w:r>
              <w:rPr>
                <w:rFonts w:hint="eastAsia" w:ascii="仿宋_GB2312" w:hAnsi="仿宋_GB2312" w:eastAsia="仿宋_GB2312" w:cs="仿宋_GB2312"/>
                <w:color w:val="auto"/>
                <w:kern w:val="0"/>
                <w:sz w:val="24"/>
                <w:highlight w:val="none"/>
              </w:rPr>
              <w:t>最后报价</w:t>
            </w:r>
            <w:r>
              <w:rPr>
                <w:rFonts w:hint="eastAsia" w:ascii="仿宋_GB2312" w:hAnsi="仿宋_GB2312" w:eastAsia="仿宋_GB2312" w:cs="仿宋_GB2312"/>
                <w:color w:val="auto"/>
                <w:sz w:val="24"/>
                <w:highlight w:val="none"/>
              </w:rPr>
              <w:t>扣除比例为</w:t>
            </w:r>
            <w:r>
              <w:rPr>
                <w:rFonts w:hint="eastAsia" w:ascii="仿宋_GB2312" w:hAnsi="仿宋_GB2312" w:eastAsia="仿宋_GB2312" w:cs="仿宋_GB2312"/>
                <w:color w:val="auto"/>
                <w:sz w:val="24"/>
                <w:highlight w:val="none"/>
                <w:u w:val="single"/>
              </w:rPr>
              <w:t>6</w:t>
            </w:r>
            <w:r>
              <w:rPr>
                <w:rFonts w:hint="eastAsia" w:ascii="仿宋_GB2312" w:hAnsi="仿宋_GB2312" w:eastAsia="仿宋_GB2312" w:cs="仿宋_GB2312"/>
                <w:color w:val="auto"/>
                <w:sz w:val="24"/>
                <w:highlight w:val="none"/>
              </w:rPr>
              <w:t>％；联合体参与磋商的，最后报价扣除比例为</w:t>
            </w:r>
            <w:r>
              <w:rPr>
                <w:rFonts w:hint="eastAsia" w:ascii="仿宋_GB2312" w:hAnsi="仿宋_GB2312" w:eastAsia="仿宋_GB2312" w:cs="仿宋_GB2312"/>
                <w:color w:val="auto"/>
                <w:sz w:val="24"/>
                <w:highlight w:val="none"/>
                <w:u w:val="single"/>
              </w:rPr>
              <w:t xml:space="preserve"> 2 </w:t>
            </w:r>
            <w:r>
              <w:rPr>
                <w:rFonts w:hint="eastAsia" w:ascii="仿宋_GB2312" w:hAnsi="仿宋_GB2312" w:eastAsia="仿宋_GB2312" w:cs="仿宋_GB2312"/>
                <w:color w:val="auto"/>
                <w:sz w:val="24"/>
                <w:highlight w:val="none"/>
              </w:rPr>
              <w:t>%。评审时，用扣除后的最后报价计算价格分。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124"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第二章第31.5款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技术、商务、价格</w:t>
            </w:r>
            <w:r>
              <w:rPr>
                <w:rFonts w:hint="eastAsia" w:ascii="仿宋_GB2312" w:hAnsi="仿宋_GB2312" w:eastAsia="仿宋_GB2312" w:cs="仿宋_GB2312"/>
                <w:color w:val="auto"/>
                <w:kern w:val="0"/>
                <w:sz w:val="24"/>
                <w:highlight w:val="none"/>
              </w:rPr>
              <w:t>得分或总得分</w:t>
            </w:r>
            <w:r>
              <w:rPr>
                <w:rFonts w:hint="eastAsia" w:ascii="仿宋_GB2312" w:hAnsi="仿宋_GB2312" w:eastAsia="仿宋_GB2312" w:cs="仿宋_GB2312"/>
                <w:color w:val="auto"/>
                <w:sz w:val="24"/>
                <w:highlight w:val="none"/>
              </w:rPr>
              <w:t>调整</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本项目不涉及该类调整。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32"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六、成交结果信息公布与授予合同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第二章第37.1款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9"/>
                <w:sz w:val="24"/>
                <w:highlight w:val="none"/>
              </w:rPr>
            </w:pPr>
            <w:r>
              <w:rPr>
                <w:rFonts w:hint="eastAsia" w:ascii="仿宋_GB2312" w:hAnsi="仿宋_GB2312" w:eastAsia="仿宋_GB2312" w:cs="仿宋_GB2312"/>
                <w:color w:val="auto"/>
                <w:spacing w:val="-9"/>
                <w:sz w:val="24"/>
                <w:highlight w:val="none"/>
              </w:rPr>
              <w:t>财政部门指定</w:t>
            </w:r>
          </w:p>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9"/>
                <w:sz w:val="24"/>
                <w:highlight w:val="none"/>
              </w:rPr>
              <w:t>的媒体</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中国湖南长沙市政府采购网：</w:t>
            </w:r>
          </w:p>
          <w:p>
            <w:pPr>
              <w:widowControl/>
              <w:adjustRightInd w:val="0"/>
              <w:snapToGrid w:val="0"/>
              <w:spacing w:beforeLines="20" w:afterLines="20" w:line="288"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highlight w:val="none"/>
              </w:rPr>
              <w:fldChar w:fldCharType="begin"/>
            </w:r>
            <w:r>
              <w:rPr>
                <w:rFonts w:hint="eastAsia" w:ascii="仿宋_GB2312" w:hAnsi="仿宋_GB2312" w:eastAsia="仿宋_GB2312" w:cs="仿宋_GB2312"/>
                <w:color w:val="auto"/>
                <w:highlight w:val="none"/>
              </w:rPr>
              <w:instrText xml:space="preserve"> HYPERLINK "http://changs.ccgp-hunan.gov.cn" </w:instrText>
            </w:r>
            <w:r>
              <w:rPr>
                <w:rFonts w:hint="eastAsia" w:ascii="仿宋_GB2312" w:hAnsi="仿宋_GB2312" w:eastAsia="仿宋_GB2312" w:cs="仿宋_GB2312"/>
                <w:color w:val="auto"/>
                <w:highlight w:val="none"/>
              </w:rPr>
              <w:fldChar w:fldCharType="separate"/>
            </w:r>
            <w:r>
              <w:rPr>
                <w:rStyle w:val="24"/>
                <w:rFonts w:hint="eastAsia" w:ascii="仿宋_GB2312" w:hAnsi="仿宋_GB2312" w:eastAsia="仿宋_GB2312" w:cs="仿宋_GB2312"/>
                <w:color w:val="auto"/>
                <w:sz w:val="24"/>
                <w:highlight w:val="none"/>
              </w:rPr>
              <w:t>changs.ccgp-hunan.gov.cn</w:t>
            </w:r>
            <w:r>
              <w:rPr>
                <w:rStyle w:val="24"/>
                <w:rFonts w:hint="eastAsia" w:ascii="仿宋_GB2312" w:hAnsi="仿宋_GB2312" w:eastAsia="仿宋_GB2312" w:cs="仿宋_GB2312"/>
                <w:color w:val="auto"/>
                <w:sz w:val="24"/>
                <w:highlight w:val="none"/>
              </w:rPr>
              <w:fldChar w:fldCharType="end"/>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第二章第39.3款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履约担保</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不要求提供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 w:hRule="atLeast"/>
          <w:tblHeader/>
          <w:jc w:val="center"/>
        </w:trPr>
        <w:tc>
          <w:tcPr>
            <w:tcW w:w="8845" w:type="dxa"/>
            <w:gridSpan w:val="3"/>
            <w:vAlign w:val="center"/>
          </w:tcPr>
          <w:p>
            <w:pPr>
              <w:widowControl/>
              <w:adjustRightInd w:val="0"/>
              <w:snapToGrid w:val="0"/>
              <w:spacing w:beforeLines="20" w:afterLines="20" w:line="288"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七、其他规定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8" w:hRule="atLeast"/>
          <w:tblHeader/>
          <w:jc w:val="center"/>
        </w:trPr>
        <w:tc>
          <w:tcPr>
            <w:tcW w:w="1844"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第二章第41.1款</w:t>
            </w:r>
          </w:p>
        </w:tc>
        <w:tc>
          <w:tcPr>
            <w:tcW w:w="1985" w:type="dxa"/>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采购代理服务费</w:t>
            </w:r>
          </w:p>
        </w:tc>
        <w:tc>
          <w:tcPr>
            <w:tcW w:w="5016" w:type="dxa"/>
            <w:vAlign w:val="center"/>
          </w:tcPr>
          <w:p>
            <w:pPr>
              <w:widowControl/>
              <w:adjustRightInd w:val="0"/>
              <w:snapToGrid w:val="0"/>
              <w:spacing w:beforeLines="20" w:afterLines="20" w:line="288"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采购人同意向采购代理机构支付代理服务费：      </w:t>
            </w:r>
          </w:p>
          <w:p>
            <w:pPr>
              <w:widowControl/>
              <w:adjustRightInd w:val="0"/>
              <w:snapToGrid w:val="0"/>
              <w:spacing w:beforeLines="20" w:afterLines="20" w:line="288" w:lineRule="auto"/>
              <w:rPr>
                <w:rFonts w:hint="eastAsia" w:ascii="仿宋_GB2312" w:hAnsi="仿宋_GB2312" w:eastAsia="仿宋_GB2312" w:cs="仿宋_GB2312"/>
                <w:b/>
                <w:bCs/>
                <w:color w:val="auto"/>
                <w:sz w:val="24"/>
                <w:highlight w:val="none"/>
                <w:u w:val="single"/>
              </w:rPr>
            </w:pPr>
            <w:r>
              <w:rPr>
                <w:rFonts w:hint="eastAsia" w:ascii="仿宋_GB2312" w:hAnsi="仿宋_GB2312" w:eastAsia="仿宋_GB2312" w:cs="仿宋_GB2312"/>
                <w:color w:val="auto"/>
                <w:sz w:val="24"/>
                <w:highlight w:val="none"/>
                <w:u w:val="single"/>
                <w:lang w:val="en-US" w:eastAsia="zh-CN"/>
              </w:rPr>
              <w:t>4550</w:t>
            </w:r>
            <w:r>
              <w:rPr>
                <w:rFonts w:hint="eastAsia" w:ascii="仿宋_GB2312" w:hAnsi="仿宋_GB2312" w:eastAsia="仿宋_GB2312" w:cs="仿宋_GB2312"/>
                <w:color w:val="auto"/>
                <w:sz w:val="24"/>
                <w:highlight w:val="none"/>
              </w:rPr>
              <w:t>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 w:hRule="atLeast"/>
          <w:tblHeader/>
          <w:jc w:val="center"/>
        </w:trPr>
        <w:tc>
          <w:tcPr>
            <w:tcW w:w="1844" w:type="dxa"/>
            <w:tcBorders>
              <w:bottom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pacing w:val="-16"/>
                <w:sz w:val="24"/>
                <w:highlight w:val="none"/>
              </w:rPr>
            </w:pPr>
            <w:r>
              <w:rPr>
                <w:rFonts w:hint="eastAsia" w:ascii="仿宋_GB2312" w:hAnsi="仿宋_GB2312" w:eastAsia="仿宋_GB2312" w:cs="仿宋_GB2312"/>
                <w:color w:val="auto"/>
                <w:spacing w:val="-16"/>
                <w:sz w:val="24"/>
                <w:highlight w:val="none"/>
              </w:rPr>
              <w:t>第二章第42.1款</w:t>
            </w:r>
          </w:p>
        </w:tc>
        <w:tc>
          <w:tcPr>
            <w:tcW w:w="1985" w:type="dxa"/>
            <w:tcBorders>
              <w:bottom w:val="double" w:color="auto" w:sz="4" w:space="0"/>
            </w:tcBorders>
            <w:vAlign w:val="center"/>
          </w:tcPr>
          <w:p>
            <w:pPr>
              <w:widowControl/>
              <w:adjustRightInd w:val="0"/>
              <w:snapToGrid w:val="0"/>
              <w:spacing w:beforeLines="20" w:afterLines="20" w:line="288"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其他规定</w:t>
            </w:r>
          </w:p>
        </w:tc>
        <w:tc>
          <w:tcPr>
            <w:tcW w:w="5016" w:type="dxa"/>
            <w:tcBorders>
              <w:bottom w:val="double" w:color="auto" w:sz="4" w:space="0"/>
            </w:tcBorders>
            <w:vAlign w:val="center"/>
          </w:tcPr>
          <w:p>
            <w:pPr>
              <w:widowControl/>
              <w:numPr>
                <w:ilvl w:val="0"/>
                <w:numId w:val="4"/>
              </w:numPr>
              <w:adjustRightInd w:val="0"/>
              <w:snapToGrid w:val="0"/>
              <w:spacing w:beforeLines="20" w:afterLines="20" w:line="312" w:lineRule="auto"/>
              <w:outlineLvl w:val="0"/>
              <w:rPr>
                <w:rFonts w:hint="eastAsia" w:ascii="仿宋_GB2312" w:hAnsi="仿宋_GB2312" w:eastAsia="仿宋_GB2312" w:cs="仿宋_GB2312"/>
                <w:color w:val="auto"/>
                <w:spacing w:val="-6"/>
                <w:sz w:val="24"/>
                <w:highlight w:val="none"/>
              </w:rPr>
            </w:pPr>
            <w:r>
              <w:rPr>
                <w:rFonts w:hint="eastAsia" w:ascii="仿宋_GB2312" w:hAnsi="仿宋_GB2312" w:eastAsia="仿宋_GB2312" w:cs="仿宋_GB2312"/>
                <w:color w:val="auto"/>
                <w:spacing w:val="-6"/>
                <w:sz w:val="24"/>
                <w:highlight w:val="none"/>
              </w:rPr>
              <w:t>采购人、采购代理机构应当通过“信用中国”网站（www.creditchina.gov.cn）、中国政府采购网（www.ccgp.gov.cn）等渠道查询供应商信用记录，并采取必要方式做好信用信息查询记录和证据留存，信用信息查询记录及相关证据应当与采购文件一并保存。采购人或者采购代理机构应当对供应商信用记录进行甄别，对列入失信被执行人、重大税收违法案件当事人名单、政府采购严重违法失信行为记录名单及其他不符合《中华人民共和国政府采购法》第二十二条规定条件的供应商，应当拒绝其参与政府采购活动。</w:t>
            </w:r>
          </w:p>
          <w:p>
            <w:pPr>
              <w:widowControl/>
              <w:numPr>
                <w:ilvl w:val="0"/>
                <w:numId w:val="4"/>
              </w:numPr>
              <w:adjustRightInd w:val="0"/>
              <w:snapToGrid w:val="0"/>
              <w:spacing w:beforeLines="20" w:afterLines="20" w:line="312" w:lineRule="auto"/>
              <w:outlineLvl w:val="0"/>
              <w:rPr>
                <w:rFonts w:hint="eastAsia" w:ascii="仿宋_GB2312" w:hAnsi="仿宋_GB2312" w:eastAsia="仿宋_GB2312" w:cs="仿宋_GB2312"/>
                <w:color w:val="auto"/>
                <w:spacing w:val="-6"/>
                <w:sz w:val="24"/>
                <w:highlight w:val="none"/>
              </w:rPr>
            </w:pPr>
            <w:r>
              <w:rPr>
                <w:rFonts w:hint="eastAsia" w:ascii="仿宋_GB2312" w:hAnsi="仿宋_GB2312" w:eastAsia="仿宋_GB2312" w:cs="仿宋_GB2312"/>
                <w:color w:val="auto"/>
                <w:spacing w:val="-6"/>
                <w:sz w:val="24"/>
                <w:highlight w:val="none"/>
              </w:rPr>
              <w:t>本项目前期调研、招标过程中的质疑投诉、项目验收由代理公司负责组织。</w:t>
            </w:r>
          </w:p>
          <w:p>
            <w:pPr>
              <w:widowControl/>
              <w:numPr>
                <w:ilvl w:val="0"/>
                <w:numId w:val="4"/>
              </w:numPr>
              <w:adjustRightInd w:val="0"/>
              <w:snapToGrid w:val="0"/>
              <w:spacing w:beforeLines="20" w:afterLines="20" w:line="312" w:lineRule="auto"/>
              <w:outlineLvl w:val="0"/>
              <w:rPr>
                <w:rFonts w:hint="eastAsia" w:ascii="仿宋_GB2312" w:hAnsi="仿宋_GB2312" w:eastAsia="仿宋_GB2312" w:cs="仿宋_GB2312"/>
                <w:color w:val="auto"/>
                <w:spacing w:val="-6"/>
                <w:sz w:val="24"/>
                <w:highlight w:val="none"/>
              </w:rPr>
            </w:pPr>
            <w:r>
              <w:rPr>
                <w:rFonts w:hint="eastAsia" w:ascii="仿宋_GB2312" w:hAnsi="仿宋_GB2312" w:eastAsia="仿宋_GB2312" w:cs="仿宋_GB2312"/>
                <w:b/>
                <w:bCs/>
                <w:color w:val="auto"/>
                <w:spacing w:val="-6"/>
                <w:sz w:val="24"/>
                <w:highlight w:val="none"/>
              </w:rPr>
              <w:t>本磋商文件中的“近三个月”是指：2018年7月-2018年9月或2018年8月-2018年10月</w:t>
            </w:r>
            <w:r>
              <w:rPr>
                <w:rFonts w:hint="eastAsia" w:ascii="仿宋_GB2312" w:hAnsi="仿宋_GB2312" w:eastAsia="仿宋_GB2312" w:cs="仿宋_GB2312"/>
                <w:color w:val="auto"/>
                <w:spacing w:val="-6"/>
                <w:sz w:val="24"/>
                <w:highlight w:val="none"/>
              </w:rPr>
              <w:t>。</w:t>
            </w:r>
          </w:p>
        </w:tc>
      </w:tr>
    </w:tbl>
    <w:p>
      <w:pPr>
        <w:adjustRightInd w:val="0"/>
        <w:snapToGrid w:val="0"/>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bCs/>
          <w:color w:val="auto"/>
          <w:szCs w:val="21"/>
          <w:highlight w:val="none"/>
        </w:rPr>
        <w:br w:type="page"/>
      </w:r>
      <w:r>
        <w:rPr>
          <w:rFonts w:hint="eastAsia" w:ascii="仿宋_GB2312" w:hAnsi="仿宋_GB2312" w:eastAsia="仿宋_GB2312" w:cs="仿宋_GB2312"/>
          <w:color w:val="auto"/>
          <w:szCs w:val="21"/>
          <w:highlight w:val="none"/>
        </w:rPr>
        <w:t>附页1</w:t>
      </w:r>
      <w:r>
        <w:rPr>
          <w:rFonts w:hint="eastAsia" w:ascii="仿宋_GB2312" w:hAnsi="仿宋_GB2312" w:eastAsia="仿宋_GB2312" w:cs="仿宋_GB2312"/>
          <w:b/>
          <w:bCs/>
          <w:color w:val="auto"/>
          <w:szCs w:val="21"/>
          <w:highlight w:val="none"/>
        </w:rPr>
        <w:t xml:space="preserve">                           </w:t>
      </w:r>
      <w:r>
        <w:rPr>
          <w:rFonts w:hint="eastAsia" w:ascii="仿宋_GB2312" w:hAnsi="仿宋_GB2312" w:eastAsia="仿宋_GB2312" w:cs="仿宋_GB2312"/>
          <w:bCs/>
          <w:color w:val="auto"/>
          <w:sz w:val="32"/>
          <w:szCs w:val="32"/>
          <w:highlight w:val="none"/>
        </w:rPr>
        <w:t>评审因素和标准</w:t>
      </w:r>
    </w:p>
    <w:tbl>
      <w:tblPr>
        <w:tblStyle w:val="29"/>
        <w:tblW w:w="960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915"/>
        <w:gridCol w:w="765"/>
        <w:gridCol w:w="71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tblHeader/>
          <w:jc w:val="center"/>
        </w:trPr>
        <w:tc>
          <w:tcPr>
            <w:tcW w:w="1675" w:type="dxa"/>
            <w:gridSpan w:val="2"/>
            <w:vAlign w:val="center"/>
          </w:tcPr>
          <w:p>
            <w:pPr>
              <w:adjustRightInd w:val="0"/>
              <w:snapToGrid w:val="0"/>
              <w:ind w:left="718" w:leftChars="1" w:hanging="716" w:hangingChars="297"/>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评审因素</w:t>
            </w:r>
          </w:p>
        </w:tc>
        <w:tc>
          <w:tcPr>
            <w:tcW w:w="765" w:type="dxa"/>
            <w:vAlign w:val="center"/>
          </w:tcPr>
          <w:p>
            <w:pPr>
              <w:adjustRightInd w:val="0"/>
              <w:snapToGrid w:val="0"/>
              <w:ind w:left="718" w:leftChars="1" w:hanging="716" w:hangingChars="297"/>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分值</w:t>
            </w:r>
          </w:p>
        </w:tc>
        <w:tc>
          <w:tcPr>
            <w:tcW w:w="7166" w:type="dxa"/>
            <w:vAlign w:val="center"/>
          </w:tcPr>
          <w:p>
            <w:pPr>
              <w:adjustRightInd w:val="0"/>
              <w:snapToGrid w:val="0"/>
              <w:ind w:left="718" w:leftChars="1" w:hanging="716" w:hangingChars="297"/>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675" w:type="dxa"/>
            <w:gridSpan w:val="2"/>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价格</w:t>
            </w:r>
          </w:p>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7166" w:type="dxa"/>
            <w:vAlign w:val="center"/>
          </w:tcPr>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以开标时承认的投标报价为基础，按下列方式计算：</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采用低价优先法，即满足招标文件要求且投标价格最低的投标报价为评标基准价，其价格为满分其他有效投标人价格按照下列公式计算：投标报价得分=(投标基准价/投标报价)×10</w:t>
            </w:r>
          </w:p>
          <w:p>
            <w:pPr>
              <w:pStyle w:val="14"/>
              <w:adjustRightInd w:val="0"/>
              <w:snapToGrid w:val="0"/>
              <w:spacing w:line="240" w:lineRule="auto"/>
              <w:ind w:left="0" w:leftChars="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1）因落实采购政策进行价格调整的，以调整后的价格计算评标基准价和投标报价；</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2）评标委员会认为投标人的报价明显低于其他通过符合性审查投标人的报价，有可能影响产品质量或者不能诚信履约的，有权要求其在评标现场合理的时间内提供书面说明，必要时提交相关证明材料；投标人不能证明其报价合理性的，评标委员会可将其作为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restart"/>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技术</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60’</w:t>
            </w:r>
          </w:p>
        </w:tc>
        <w:tc>
          <w:tcPr>
            <w:tcW w:w="915" w:type="dxa"/>
            <w:vMerge w:val="restart"/>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总体</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方案</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30’</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7166" w:type="dxa"/>
          </w:tcPr>
          <w:p>
            <w:pPr>
              <w:widowControl/>
              <w:autoSpaceDE w:val="0"/>
              <w:adjustRightInd w:val="0"/>
              <w:snapToGrid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理解本项目建设意义</w:t>
            </w:r>
            <w:r>
              <w:rPr>
                <w:rFonts w:hint="eastAsia" w:ascii="仿宋_GB2312" w:hAnsi="仿宋_GB2312" w:eastAsia="仿宋_GB2312" w:cs="仿宋_GB2312"/>
                <w:color w:val="auto"/>
                <w:sz w:val="24"/>
                <w:highlight w:val="none"/>
              </w:rPr>
              <w:t>：</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能够准确把握项目建设的重点、难点，并进行透彻分析，综合评价为优秀的计8分；良好的计4分；一般的计2分；其他的不计分。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rPr>
                <w:rFonts w:hint="eastAsia" w:ascii="仿宋_GB2312" w:hAnsi="仿宋_GB2312" w:eastAsia="仿宋_GB2312" w:cs="仿宋_GB2312"/>
                <w:color w:val="auto"/>
                <w:sz w:val="24"/>
                <w:highlight w:val="none"/>
              </w:rPr>
            </w:pPr>
          </w:p>
        </w:tc>
        <w:tc>
          <w:tcPr>
            <w:tcW w:w="915"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7166" w:type="dxa"/>
            <w:vAlign w:val="center"/>
          </w:tcPr>
          <w:p>
            <w:pPr>
              <w:widowControl/>
              <w:autoSpaceDE w:val="0"/>
              <w:adjustRightInd w:val="0"/>
              <w:snapToGrid w:val="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总体设计：</w:t>
            </w:r>
          </w:p>
          <w:p>
            <w:pPr>
              <w:widowControl/>
              <w:autoSpaceDE w:val="0"/>
              <w:adjustRightInd w:val="0"/>
              <w:snapToGrid w:val="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color w:val="auto"/>
                <w:kern w:val="0"/>
                <w:sz w:val="24"/>
                <w:highlight w:val="none"/>
              </w:rPr>
              <w:t>总体设计、建设思路合理，技术路线先进且合理，</w:t>
            </w:r>
            <w:r>
              <w:rPr>
                <w:rFonts w:hint="eastAsia" w:ascii="仿宋_GB2312" w:hAnsi="仿宋_GB2312" w:eastAsia="仿宋_GB2312" w:cs="仿宋_GB2312"/>
                <w:color w:val="auto"/>
                <w:sz w:val="24"/>
                <w:highlight w:val="none"/>
              </w:rPr>
              <w:t>综合评价为优秀的计8分；良好的计4分；一般的计2分；其他的不计分。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rPr>
                <w:rFonts w:hint="eastAsia" w:ascii="仿宋_GB2312" w:hAnsi="仿宋_GB2312" w:eastAsia="仿宋_GB2312" w:cs="仿宋_GB2312"/>
                <w:color w:val="auto"/>
                <w:sz w:val="24"/>
                <w:highlight w:val="none"/>
              </w:rPr>
            </w:pPr>
          </w:p>
        </w:tc>
        <w:tc>
          <w:tcPr>
            <w:tcW w:w="915"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7166" w:type="dxa"/>
            <w:vAlign w:val="center"/>
          </w:tcPr>
          <w:p>
            <w:pPr>
              <w:adjustRightInd w:val="0"/>
              <w:snapToGrid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技术方案：</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1、数据更新优化响应</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对投标人的数据更新优化的标准性和完整性进行综合评审，包括数据更新内容、数据优化流程的横向比较，综合评价为优秀的计5分；良好的计3分；一般的计1分；差的或未提供的不计分。</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2、功能优化提升响应</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对投标人的平台功能的优化提升程度进行综合评审，包括平台功能优化的整体性、实用性的横向比较，综合评价为优秀的计5分；良好的计3分；一般的计1分；差的或未提供的不计分。</w:t>
            </w:r>
          </w:p>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3、用户体验提升</w:t>
            </w:r>
          </w:p>
          <w:p>
            <w:pPr>
              <w:widowControl/>
              <w:autoSpaceDE w:val="0"/>
              <w:adjustRightInd w:val="0"/>
              <w:snapToGrid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对用户体验提升程度进行综合评审，包括用户浏览体验、交互体验的互动性、舒适性的横向比较，综合评价为优秀的计4分；良好的计2分；一般的计1分；差的或未提供的不计分。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Merge w:val="restart"/>
            <w:vAlign w:val="center"/>
          </w:tcPr>
          <w:p>
            <w:pPr>
              <w:adjustRightInd w:val="0"/>
              <w:snapToGrid w:val="0"/>
              <w:ind w:firstLine="38" w:firstLineChars="16"/>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实施</w:t>
            </w:r>
          </w:p>
          <w:p>
            <w:pPr>
              <w:adjustRightInd w:val="0"/>
              <w:snapToGrid w:val="0"/>
              <w:ind w:firstLine="38" w:firstLineChars="16"/>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方案</w:t>
            </w:r>
          </w:p>
          <w:p>
            <w:pPr>
              <w:adjustRightInd w:val="0"/>
              <w:snapToGrid w:val="0"/>
              <w:ind w:firstLine="38" w:firstLineChars="16"/>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30’</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7166" w:type="dxa"/>
            <w:vAlign w:val="center"/>
          </w:tcPr>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对投标人实施方案中的质量保证目标、措施和体系的合理先进程度进行综合评价，</w:t>
            </w:r>
            <w:r>
              <w:rPr>
                <w:rFonts w:hint="eastAsia" w:ascii="仿宋_GB2312" w:hAnsi="仿宋_GB2312" w:eastAsia="仿宋_GB2312" w:cs="仿宋_GB2312"/>
                <w:color w:val="auto"/>
                <w:sz w:val="24"/>
                <w:highlight w:val="none"/>
              </w:rPr>
              <w:t>为优秀的计6分；良好的计3分；一般的计1分；其他的不计分。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Merge w:val="continue"/>
            <w:vAlign w:val="center"/>
          </w:tcPr>
          <w:p>
            <w:pPr>
              <w:widowControl/>
              <w:autoSpaceDE w:val="0"/>
              <w:adjustRightInd w:val="0"/>
              <w:snapToGrid w:val="0"/>
              <w:rPr>
                <w:rFonts w:hint="eastAsia" w:ascii="仿宋_GB2312" w:hAnsi="仿宋_GB2312" w:eastAsia="仿宋_GB2312" w:cs="仿宋_GB2312"/>
                <w:color w:val="auto"/>
                <w:kern w:val="0"/>
                <w:sz w:val="24"/>
                <w:highlight w:val="none"/>
              </w:rPr>
            </w:pP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7166" w:type="dxa"/>
            <w:vAlign w:val="center"/>
          </w:tcPr>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对投标人实施方案中的进度的合理性安排进行综合评价，</w:t>
            </w:r>
            <w:r>
              <w:rPr>
                <w:rFonts w:hint="eastAsia" w:ascii="仿宋_GB2312" w:hAnsi="仿宋_GB2312" w:eastAsia="仿宋_GB2312" w:cs="仿宋_GB2312"/>
                <w:color w:val="auto"/>
                <w:sz w:val="24"/>
                <w:highlight w:val="none"/>
              </w:rPr>
              <w:t>为优秀的计6</w:t>
            </w:r>
            <w:r>
              <w:rPr>
                <w:rFonts w:hint="eastAsia" w:ascii="仿宋_GB2312" w:hAnsi="仿宋_GB2312" w:eastAsia="仿宋_GB2312" w:cs="仿宋_GB2312"/>
                <w:color w:val="auto"/>
                <w:kern w:val="0"/>
                <w:sz w:val="24"/>
                <w:highlight w:val="none"/>
              </w:rPr>
              <w:t>分；良好的计3分；一般的计1分；其</w:t>
            </w:r>
            <w:r>
              <w:rPr>
                <w:rFonts w:hint="eastAsia" w:ascii="仿宋_GB2312" w:hAnsi="仿宋_GB2312" w:eastAsia="仿宋_GB2312" w:cs="仿宋_GB2312"/>
                <w:color w:val="auto"/>
                <w:sz w:val="24"/>
                <w:highlight w:val="none"/>
              </w:rPr>
              <w:t>他的不计分。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Merge w:val="continue"/>
            <w:vAlign w:val="center"/>
          </w:tcPr>
          <w:p>
            <w:pPr>
              <w:autoSpaceDE w:val="0"/>
              <w:adjustRightInd w:val="0"/>
              <w:snapToGrid w:val="0"/>
              <w:jc w:val="center"/>
              <w:rPr>
                <w:rFonts w:hint="eastAsia" w:ascii="仿宋_GB2312" w:hAnsi="仿宋_GB2312" w:eastAsia="仿宋_GB2312" w:cs="仿宋_GB2312"/>
                <w:color w:val="auto"/>
                <w:sz w:val="24"/>
                <w:highlight w:val="none"/>
              </w:rPr>
            </w:pP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7166" w:type="dxa"/>
          </w:tcPr>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对投标人实施方案中的售后服务承诺的完善性、合理性进行综合评价，</w:t>
            </w:r>
            <w:r>
              <w:rPr>
                <w:rFonts w:hint="eastAsia" w:ascii="仿宋_GB2312" w:hAnsi="仿宋_GB2312" w:eastAsia="仿宋_GB2312" w:cs="仿宋_GB2312"/>
                <w:color w:val="auto"/>
                <w:sz w:val="24"/>
                <w:highlight w:val="none"/>
              </w:rPr>
              <w:t>为优秀的</w:t>
            </w:r>
            <w:r>
              <w:rPr>
                <w:rFonts w:hint="eastAsia" w:ascii="仿宋_GB2312" w:hAnsi="仿宋_GB2312" w:eastAsia="仿宋_GB2312" w:cs="仿宋_GB2312"/>
                <w:color w:val="auto"/>
                <w:spacing w:val="-11"/>
                <w:sz w:val="24"/>
                <w:highlight w:val="none"/>
              </w:rPr>
              <w:t>计6分；良好的计3分；</w:t>
            </w:r>
            <w:r>
              <w:rPr>
                <w:rFonts w:hint="eastAsia" w:ascii="仿宋_GB2312" w:hAnsi="仿宋_GB2312" w:eastAsia="仿宋_GB2312" w:cs="仿宋_GB2312"/>
                <w:color w:val="auto"/>
                <w:sz w:val="24"/>
                <w:highlight w:val="none"/>
              </w:rPr>
              <w:t>一般的计1分；其他的不计分。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Merge w:val="continue"/>
            <w:vAlign w:val="center"/>
          </w:tcPr>
          <w:p>
            <w:pPr>
              <w:autoSpaceDE w:val="0"/>
              <w:adjustRightInd w:val="0"/>
              <w:snapToGrid w:val="0"/>
              <w:jc w:val="center"/>
              <w:rPr>
                <w:rFonts w:hint="eastAsia" w:ascii="仿宋_GB2312" w:hAnsi="仿宋_GB2312" w:eastAsia="仿宋_GB2312" w:cs="仿宋_GB2312"/>
                <w:color w:val="auto"/>
                <w:sz w:val="24"/>
                <w:highlight w:val="none"/>
              </w:rPr>
            </w:pP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7166" w:type="dxa"/>
          </w:tcPr>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对投标人实施方案中的培训方案的科学性、合理性进行综合评价，</w:t>
            </w:r>
            <w:r>
              <w:rPr>
                <w:rFonts w:hint="eastAsia" w:ascii="仿宋_GB2312" w:hAnsi="仿宋_GB2312" w:eastAsia="仿宋_GB2312" w:cs="仿宋_GB2312"/>
                <w:color w:val="auto"/>
                <w:sz w:val="24"/>
                <w:highlight w:val="none"/>
              </w:rPr>
              <w:t>为优秀的计6分；良好的计3分；一般的计1分；其他的不计分。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Merge w:val="continue"/>
            <w:vAlign w:val="center"/>
          </w:tcPr>
          <w:p>
            <w:pPr>
              <w:autoSpaceDE w:val="0"/>
              <w:adjustRightInd w:val="0"/>
              <w:snapToGrid w:val="0"/>
              <w:jc w:val="center"/>
              <w:rPr>
                <w:rFonts w:hint="eastAsia" w:ascii="仿宋_GB2312" w:hAnsi="仿宋_GB2312" w:eastAsia="仿宋_GB2312" w:cs="仿宋_GB2312"/>
                <w:color w:val="auto"/>
                <w:sz w:val="24"/>
                <w:highlight w:val="none"/>
              </w:rPr>
            </w:pP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7166" w:type="dxa"/>
          </w:tcPr>
          <w:p>
            <w:pPr>
              <w:widowControl/>
              <w:autoSpaceDE w:val="0"/>
              <w:adjustRightInd w:val="0"/>
              <w:snapToGrid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投标人可对湖南金融中心三维演示系统提出合理化建议，经磋商小组认定确实优化服务、管理，能促进系统优化的，每个计3分，最多计6分。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restart"/>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商务30’</w:t>
            </w:r>
          </w:p>
        </w:tc>
        <w:tc>
          <w:tcPr>
            <w:tcW w:w="91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类似</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业绩</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7166" w:type="dxa"/>
            <w:vAlign w:val="center"/>
          </w:tcPr>
          <w:p>
            <w:pPr>
              <w:pStyle w:val="14"/>
              <w:numPr>
                <w:ilvl w:val="0"/>
                <w:numId w:val="5"/>
              </w:numPr>
              <w:adjustRightInd w:val="0"/>
              <w:snapToGrid w:val="0"/>
              <w:spacing w:line="240" w:lineRule="auto"/>
              <w:ind w:left="0" w:leftChars="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投标人自2015年至今完成的城市三维仿真模型数据制作项目：项目制作范围在10-100平方公里以内的，每一个计1分；项目制作范围在101平方公里</w:t>
            </w:r>
            <w:r>
              <w:rPr>
                <w:rFonts w:hint="eastAsia" w:ascii="仿宋_GB2312" w:hAnsi="仿宋_GB2312" w:eastAsia="仿宋_GB2312" w:cs="仿宋_GB2312"/>
                <w:color w:val="auto"/>
                <w:sz w:val="24"/>
                <w:szCs w:val="24"/>
                <w:highlight w:val="none"/>
                <w:lang w:eastAsia="zh-CN"/>
              </w:rPr>
              <w:t>或</w:t>
            </w:r>
            <w:r>
              <w:rPr>
                <w:rFonts w:hint="eastAsia" w:ascii="仿宋_GB2312" w:hAnsi="仿宋_GB2312" w:eastAsia="仿宋_GB2312" w:cs="仿宋_GB2312"/>
                <w:color w:val="auto"/>
                <w:sz w:val="24"/>
                <w:szCs w:val="24"/>
                <w:highlight w:val="none"/>
              </w:rPr>
              <w:t>以上的，每一个计2分。最高计6分；</w:t>
            </w:r>
          </w:p>
          <w:p>
            <w:pPr>
              <w:numPr>
                <w:ilvl w:val="0"/>
                <w:numId w:val="5"/>
              </w:num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投标人自2015年至今完成的利用城市三维仿真技术进行规划分析研究的项目：项目金额为人民币10-50万元的，每一个计1分；项目金额为人民币51万元</w:t>
            </w:r>
            <w:r>
              <w:rPr>
                <w:rFonts w:hint="eastAsia" w:ascii="仿宋_GB2312" w:hAnsi="仿宋_GB2312" w:eastAsia="仿宋_GB2312" w:cs="仿宋_GB2312"/>
                <w:color w:val="auto"/>
                <w:sz w:val="24"/>
                <w:szCs w:val="24"/>
                <w:highlight w:val="none"/>
                <w:lang w:eastAsia="zh-CN"/>
              </w:rPr>
              <w:t>或</w:t>
            </w:r>
            <w:r>
              <w:rPr>
                <w:rFonts w:hint="eastAsia" w:ascii="仿宋_GB2312" w:hAnsi="仿宋_GB2312" w:eastAsia="仿宋_GB2312" w:cs="仿宋_GB2312"/>
                <w:color w:val="auto"/>
                <w:sz w:val="24"/>
                <w:highlight w:val="none"/>
              </w:rPr>
              <w:t>以上的，每一个计2分。最高计6分。</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注：以上业绩不重复计分，以合同签订时间为准，须提供合同的复印件，否则不计分。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综合</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实力</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7166" w:type="dxa"/>
            <w:vAlign w:val="center"/>
          </w:tcPr>
          <w:p>
            <w:pPr>
              <w:numPr>
                <w:ilvl w:val="0"/>
                <w:numId w:val="6"/>
              </w:num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投标人自主研发的产品具有国家版权局颁发的</w:t>
            </w:r>
            <w:r>
              <w:rPr>
                <w:rFonts w:hint="eastAsia" w:ascii="仿宋_GB2312" w:hAnsi="仿宋_GB2312" w:eastAsia="仿宋_GB2312" w:cs="仿宋_GB2312"/>
                <w:color w:val="auto"/>
                <w:spacing w:val="-11"/>
                <w:sz w:val="24"/>
                <w:highlight w:val="none"/>
              </w:rPr>
              <w:t>“规划管理”、“三维辅助决策”</w:t>
            </w:r>
            <w:r>
              <w:rPr>
                <w:rFonts w:hint="eastAsia" w:ascii="仿宋_GB2312" w:hAnsi="仿宋_GB2312" w:eastAsia="仿宋_GB2312" w:cs="仿宋_GB2312"/>
                <w:color w:val="auto"/>
                <w:sz w:val="24"/>
                <w:highlight w:val="none"/>
              </w:rPr>
              <w:t>相关软件著作权登记证书，每个计1分，最高计2分；</w:t>
            </w:r>
          </w:p>
          <w:p>
            <w:pPr>
              <w:numPr>
                <w:ilvl w:val="0"/>
                <w:numId w:val="6"/>
              </w:numPr>
              <w:adjustRightInd w:val="0"/>
              <w:snapToGrid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投标人具有</w:t>
            </w:r>
            <w:r>
              <w:rPr>
                <w:rFonts w:hint="eastAsia" w:ascii="仿宋_GB2312" w:hAnsi="仿宋_GB2312" w:eastAsia="仿宋_GB2312" w:cs="仿宋_GB2312"/>
                <w:color w:val="auto"/>
                <w:sz w:val="24"/>
                <w:highlight w:val="none"/>
              </w:rPr>
              <w:t>城乡规划编制乙级或以上资质证书的计2分；</w:t>
            </w:r>
          </w:p>
          <w:p>
            <w:pPr>
              <w:numPr>
                <w:ilvl w:val="0"/>
                <w:numId w:val="6"/>
              </w:numPr>
              <w:adjustRightInd w:val="0"/>
              <w:snapToGrid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投标人具有省级或以上企业信用评价中心颁发的AAA级企业信用等级证书，计2分。</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注：提供以上证书复印件，否则不计分。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企业</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荣誉</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7166" w:type="dxa"/>
            <w:vAlign w:val="center"/>
          </w:tcPr>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1、投标人已完成的三维系统建设项目获得国家级机构或协会奖项的，计2分；获得省级机构或协会奖项的，计1分。最高计2分；</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2、投标人已完成的“三维数据”制作项目或“景观视觉”研究项目获得国家级机构或协会奖项的，计2分；获得省级机构或协会奖项的，计1分。最高计2分。</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注：提供获奖证书复印件，否则不计分。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ind w:left="669" w:leftChars="151" w:hanging="352" w:hangingChars="147"/>
              <w:rPr>
                <w:rFonts w:hint="eastAsia" w:ascii="仿宋_GB2312" w:hAnsi="仿宋_GB2312" w:eastAsia="仿宋_GB2312" w:cs="仿宋_GB2312"/>
                <w:color w:val="auto"/>
                <w:sz w:val="24"/>
                <w:highlight w:val="none"/>
              </w:rPr>
            </w:pPr>
          </w:p>
        </w:tc>
        <w:tc>
          <w:tcPr>
            <w:tcW w:w="915" w:type="dxa"/>
            <w:vAlign w:val="center"/>
          </w:tcPr>
          <w:p>
            <w:pPr>
              <w:adjustRightInd w:val="0"/>
              <w:snapToGrid w:val="0"/>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团队</w:t>
            </w:r>
          </w:p>
          <w:p>
            <w:pPr>
              <w:adjustRightInd w:val="0"/>
              <w:snapToGrid w:val="0"/>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实力</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7166" w:type="dxa"/>
            <w:vAlign w:val="center"/>
          </w:tcPr>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考察项目团队人员技术实力：</w:t>
            </w:r>
          </w:p>
          <w:p>
            <w:pPr>
              <w:pStyle w:val="60"/>
              <w:adjustRightInd w:val="0"/>
              <w:snapToGrid w:val="0"/>
              <w:ind w:firstLine="0" w:firstLineChars="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1、项目负责人具有城市规划高级工程师职称的，计2分；</w:t>
            </w:r>
          </w:p>
          <w:p>
            <w:pPr>
              <w:pStyle w:val="60"/>
              <w:adjustRightInd w:val="0"/>
              <w:snapToGrid w:val="0"/>
              <w:ind w:firstLine="0" w:firstLineChars="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2、项目团队成员配备有城市规划、计算机科学与技术、地理信息系统、建筑学专业的人员的计2分，每缺一个扣0.5分，扣完为止。</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w:t>
            </w:r>
            <w:r>
              <w:rPr>
                <w:rFonts w:hint="eastAsia" w:ascii="仿宋_GB2312" w:hAnsi="仿宋_GB2312" w:eastAsia="仿宋_GB2312" w:cs="仿宋_GB2312"/>
                <w:color w:val="auto"/>
                <w:kern w:val="0"/>
                <w:sz w:val="24"/>
                <w:highlight w:val="none"/>
              </w:rPr>
              <w:t>提供以上人员相关证书的复印件及由投标单位缴纳的近三个月的社保缴纳证明，否则不计分。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Align w:val="center"/>
          </w:tcPr>
          <w:p>
            <w:pPr>
              <w:adjustRightInd w:val="0"/>
              <w:snapToGrid w:val="0"/>
              <w:jc w:val="center"/>
              <w:rPr>
                <w:rFonts w:hint="eastAsia" w:ascii="仿宋_GB2312" w:hAnsi="仿宋_GB2312" w:eastAsia="仿宋_GB2312" w:cs="仿宋_GB2312"/>
                <w:color w:val="auto"/>
                <w:spacing w:val="-6"/>
                <w:sz w:val="24"/>
                <w:highlight w:val="none"/>
              </w:rPr>
            </w:pPr>
            <w:r>
              <w:rPr>
                <w:rFonts w:hint="eastAsia" w:ascii="仿宋_GB2312" w:hAnsi="仿宋_GB2312" w:eastAsia="仿宋_GB2312" w:cs="仿宋_GB2312"/>
                <w:color w:val="auto"/>
                <w:spacing w:val="-6"/>
                <w:sz w:val="24"/>
                <w:highlight w:val="none"/>
              </w:rPr>
              <w:t>服务</w:t>
            </w:r>
          </w:p>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6"/>
                <w:sz w:val="24"/>
                <w:highlight w:val="none"/>
              </w:rPr>
              <w:t>便利性</w:t>
            </w:r>
          </w:p>
        </w:tc>
        <w:tc>
          <w:tcPr>
            <w:tcW w:w="76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pacing w:val="-6"/>
                <w:sz w:val="24"/>
                <w:highlight w:val="none"/>
              </w:rPr>
              <w:t>2</w:t>
            </w:r>
          </w:p>
        </w:tc>
        <w:tc>
          <w:tcPr>
            <w:tcW w:w="7166" w:type="dxa"/>
            <w:vAlign w:val="center"/>
          </w:tcPr>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投标人注册地在项目所在地区或在项目所在地区有分支机构、售后服务机构或投标人承诺中标后10日内在项目所在地区成立售后服务机构的，计2分。</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注：以上需提供营业执照副本复印件并加盖单位公章，否则不计分。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760" w:type="dxa"/>
            <w:vMerge w:val="continue"/>
            <w:vAlign w:val="center"/>
          </w:tcPr>
          <w:p>
            <w:pPr>
              <w:adjustRightInd w:val="0"/>
              <w:snapToGrid w:val="0"/>
              <w:jc w:val="center"/>
              <w:rPr>
                <w:rFonts w:hint="eastAsia" w:ascii="仿宋_GB2312" w:hAnsi="仿宋_GB2312" w:eastAsia="仿宋_GB2312" w:cs="仿宋_GB2312"/>
                <w:color w:val="auto"/>
                <w:sz w:val="24"/>
                <w:highlight w:val="none"/>
              </w:rPr>
            </w:pPr>
          </w:p>
        </w:tc>
        <w:tc>
          <w:tcPr>
            <w:tcW w:w="91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投标书编制</w:t>
            </w:r>
          </w:p>
        </w:tc>
        <w:tc>
          <w:tcPr>
            <w:tcW w:w="765" w:type="dxa"/>
            <w:vAlign w:val="center"/>
          </w:tcPr>
          <w:p>
            <w:pPr>
              <w:autoSpaceDE w:val="0"/>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7166" w:type="dxa"/>
            <w:vAlign w:val="center"/>
          </w:tcPr>
          <w:p>
            <w:pPr>
              <w:pStyle w:val="14"/>
              <w:adjustRightInd w:val="0"/>
              <w:snapToGrid w:val="0"/>
              <w:spacing w:line="240" w:lineRule="auto"/>
              <w:ind w:left="0" w:leftChars="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投标书按招标文件规定的格式、顺序编制，有目录、编页码，装订成册，书面整洁无涂改，没有缺漏项，价格数量等计算准确的，计2分；不符合要求的，每处扣0.5分，扣完为止。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675" w:type="dxa"/>
            <w:gridSpan w:val="2"/>
            <w:vAlign w:val="center"/>
          </w:tcPr>
          <w:p>
            <w:pPr>
              <w:adjustRightInd w:val="0"/>
              <w:snapToGrid w:val="0"/>
              <w:ind w:left="714" w:leftChars="1" w:hanging="712" w:hangingChars="297"/>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合计</w:t>
            </w:r>
          </w:p>
        </w:tc>
        <w:tc>
          <w:tcPr>
            <w:tcW w:w="765" w:type="dxa"/>
            <w:vAlign w:val="center"/>
          </w:tcPr>
          <w:p>
            <w:pPr>
              <w:adjustRightInd w:val="0"/>
              <w:snapToGrid w:val="0"/>
              <w:ind w:left="714" w:leftChars="1" w:hanging="712" w:hangingChars="297"/>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100</w:t>
            </w:r>
          </w:p>
        </w:tc>
        <w:tc>
          <w:tcPr>
            <w:tcW w:w="7166" w:type="dxa"/>
            <w:vAlign w:val="center"/>
          </w:tcPr>
          <w:p>
            <w:pPr>
              <w:adjustRightInd w:val="0"/>
              <w:snapToGrid w:val="0"/>
              <w:ind w:firstLine="470" w:firstLineChars="196"/>
              <w:jc w:val="left"/>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9606" w:type="dxa"/>
            <w:gridSpan w:val="4"/>
            <w:vAlign w:val="center"/>
          </w:tcPr>
          <w:p>
            <w:pPr>
              <w:adjustRightInd w:val="0"/>
              <w:snapToGrid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说明：</w:t>
            </w:r>
          </w:p>
          <w:p>
            <w:pPr>
              <w:adjustRightInd w:val="0"/>
              <w:snapToGrid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1、评分依据评标标准，对照投标书进行。评标标准涉及要求提供复印件的，投标文件中须附相关证书和证明文件的复印件并加盖单位公章，否则相应计分项不予计分。</w:t>
            </w:r>
          </w:p>
          <w:p>
            <w:pPr>
              <w:adjustRightInd w:val="0"/>
              <w:snapToGrid w:val="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2、投标人参与采购应提供真实有效的证明材料，应当诚信守法、公平竞争。如有以提供虚假材料，一经发现，将报行政监管部门严肃查处。</w:t>
            </w:r>
          </w:p>
        </w:tc>
      </w:tr>
    </w:tbl>
    <w:p>
      <w:pPr>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br w:type="page"/>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color w:val="auto"/>
          <w:szCs w:val="21"/>
          <w:highlight w:val="none"/>
        </w:rPr>
        <w:t>附页2</w:t>
      </w:r>
    </w:p>
    <w:p>
      <w:pPr>
        <w:adjustRightInd w:val="0"/>
        <w:snapToGrid w:val="0"/>
        <w:spacing w:line="360" w:lineRule="auto"/>
        <w:jc w:val="center"/>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kern w:val="0"/>
          <w:sz w:val="28"/>
          <w:szCs w:val="28"/>
          <w:highlight w:val="none"/>
        </w:rPr>
        <w:t>湖南省政府采购支持中小企业融资合作银行及联系人名单</w:t>
      </w:r>
    </w:p>
    <w:tbl>
      <w:tblPr>
        <w:tblStyle w:val="29"/>
        <w:tblW w:w="8217"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491"/>
        <w:gridCol w:w="1320"/>
        <w:gridCol w:w="2539"/>
        <w:gridCol w:w="1867"/>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00" w:hRule="atLeast"/>
          <w:jc w:val="center"/>
        </w:trPr>
        <w:tc>
          <w:tcPr>
            <w:tcW w:w="2491" w:type="dxa"/>
            <w:tcBorders>
              <w:top w:val="double" w:color="auto" w:sz="4" w:space="0"/>
            </w:tcBorders>
            <w:vAlign w:val="center"/>
          </w:tcPr>
          <w:p>
            <w:pPr>
              <w:adjustRightInd w:val="0"/>
              <w:snapToGrid w:val="0"/>
              <w:spacing w:beforeLines="50"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kern w:val="0"/>
                <w:sz w:val="24"/>
                <w:highlight w:val="none"/>
              </w:rPr>
              <w:t>银行名称</w:t>
            </w:r>
          </w:p>
        </w:tc>
        <w:tc>
          <w:tcPr>
            <w:tcW w:w="1320" w:type="dxa"/>
            <w:tcBorders>
              <w:top w:val="double" w:color="auto" w:sz="4" w:space="0"/>
            </w:tcBorders>
            <w:vAlign w:val="center"/>
          </w:tcPr>
          <w:p>
            <w:pPr>
              <w:adjustRightInd w:val="0"/>
              <w:snapToGrid w:val="0"/>
              <w:spacing w:beforeLines="50"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kern w:val="0"/>
                <w:sz w:val="24"/>
                <w:highlight w:val="none"/>
              </w:rPr>
              <w:t>联系人</w:t>
            </w:r>
          </w:p>
        </w:tc>
        <w:tc>
          <w:tcPr>
            <w:tcW w:w="2539" w:type="dxa"/>
            <w:tcBorders>
              <w:top w:val="double" w:color="auto" w:sz="4" w:space="0"/>
            </w:tcBorders>
            <w:vAlign w:val="center"/>
          </w:tcPr>
          <w:p>
            <w:pPr>
              <w:adjustRightInd w:val="0"/>
              <w:snapToGrid w:val="0"/>
              <w:spacing w:beforeLines="50"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kern w:val="0"/>
                <w:sz w:val="24"/>
                <w:highlight w:val="none"/>
              </w:rPr>
              <w:t>职 务</w:t>
            </w:r>
          </w:p>
        </w:tc>
        <w:tc>
          <w:tcPr>
            <w:tcW w:w="1867" w:type="dxa"/>
            <w:tcBorders>
              <w:top w:val="double" w:color="auto" w:sz="4" w:space="0"/>
            </w:tcBorders>
            <w:vAlign w:val="center"/>
          </w:tcPr>
          <w:p>
            <w:pPr>
              <w:adjustRightInd w:val="0"/>
              <w:snapToGrid w:val="0"/>
              <w:spacing w:beforeLines="50"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kern w:val="0"/>
                <w:sz w:val="24"/>
                <w:highlight w:val="none"/>
              </w:rPr>
              <w:t>联系电话</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jc w:val="center"/>
        </w:trPr>
        <w:tc>
          <w:tcPr>
            <w:tcW w:w="2491"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交通银行湖南省分行</w:t>
            </w:r>
          </w:p>
        </w:tc>
        <w:tc>
          <w:tcPr>
            <w:tcW w:w="1320"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谢俊峰</w:t>
            </w:r>
          </w:p>
        </w:tc>
        <w:tc>
          <w:tcPr>
            <w:tcW w:w="2539"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湘江中路支行公司业务管理经理</w:t>
            </w:r>
          </w:p>
        </w:tc>
        <w:tc>
          <w:tcPr>
            <w:tcW w:w="1867"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84919503；13687320956</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80" w:hRule="atLeast"/>
          <w:jc w:val="center"/>
        </w:trPr>
        <w:tc>
          <w:tcPr>
            <w:tcW w:w="2491"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光大银行长沙分行</w:t>
            </w:r>
          </w:p>
        </w:tc>
        <w:tc>
          <w:tcPr>
            <w:tcW w:w="1320"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唐红英</w:t>
            </w:r>
          </w:p>
        </w:tc>
        <w:tc>
          <w:tcPr>
            <w:tcW w:w="2539"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溁湾支行行长</w:t>
            </w:r>
          </w:p>
        </w:tc>
        <w:tc>
          <w:tcPr>
            <w:tcW w:w="1867"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89750053；18673166920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10" w:hRule="atLeast"/>
          <w:jc w:val="center"/>
        </w:trPr>
        <w:tc>
          <w:tcPr>
            <w:tcW w:w="2491"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建设银行湖南省分行</w:t>
            </w:r>
          </w:p>
        </w:tc>
        <w:tc>
          <w:tcPr>
            <w:tcW w:w="1320"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颜国恒</w:t>
            </w:r>
          </w:p>
        </w:tc>
        <w:tc>
          <w:tcPr>
            <w:tcW w:w="2539"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芙蓉中路支行</w:t>
            </w:r>
          </w:p>
        </w:tc>
        <w:tc>
          <w:tcPr>
            <w:tcW w:w="1867"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88665238；13574801920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10" w:hRule="atLeast"/>
          <w:jc w:val="center"/>
        </w:trPr>
        <w:tc>
          <w:tcPr>
            <w:tcW w:w="2491"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农业银行湖南省分行</w:t>
            </w:r>
          </w:p>
        </w:tc>
        <w:tc>
          <w:tcPr>
            <w:tcW w:w="1320"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李 宁</w:t>
            </w:r>
          </w:p>
        </w:tc>
        <w:tc>
          <w:tcPr>
            <w:tcW w:w="2539"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天心区支行副行长</w:t>
            </w:r>
          </w:p>
        </w:tc>
        <w:tc>
          <w:tcPr>
            <w:tcW w:w="1867"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85114839；538.0275813058</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50" w:hRule="atLeast"/>
          <w:jc w:val="center"/>
        </w:trPr>
        <w:tc>
          <w:tcPr>
            <w:tcW w:w="2491"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中国银行湖南省分行</w:t>
            </w:r>
          </w:p>
        </w:tc>
        <w:tc>
          <w:tcPr>
            <w:tcW w:w="1320"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刘 毅</w:t>
            </w:r>
          </w:p>
        </w:tc>
        <w:tc>
          <w:tcPr>
            <w:tcW w:w="2539"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丽臣路支行行长</w:t>
            </w:r>
          </w:p>
        </w:tc>
        <w:tc>
          <w:tcPr>
            <w:tcW w:w="1867"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82741897；13808436058</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85" w:hRule="atLeast"/>
          <w:jc w:val="center"/>
        </w:trPr>
        <w:tc>
          <w:tcPr>
            <w:tcW w:w="2491"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长沙银行</w:t>
            </w:r>
          </w:p>
        </w:tc>
        <w:tc>
          <w:tcPr>
            <w:tcW w:w="1320"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廖 科</w:t>
            </w:r>
          </w:p>
        </w:tc>
        <w:tc>
          <w:tcPr>
            <w:tcW w:w="2539"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金城支行公司业务部总经理</w:t>
            </w:r>
          </w:p>
        </w:tc>
        <w:tc>
          <w:tcPr>
            <w:tcW w:w="1867" w:type="dxa"/>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84413595；13707319275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25" w:hRule="atLeast"/>
          <w:jc w:val="center"/>
        </w:trPr>
        <w:tc>
          <w:tcPr>
            <w:tcW w:w="2491" w:type="dxa"/>
            <w:tcBorders>
              <w:bottom w:val="double" w:color="auto" w:sz="4" w:space="0"/>
            </w:tcBorders>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邮储银行长沙分行</w:t>
            </w:r>
          </w:p>
        </w:tc>
        <w:tc>
          <w:tcPr>
            <w:tcW w:w="1320" w:type="dxa"/>
            <w:tcBorders>
              <w:bottom w:val="double" w:color="auto" w:sz="4" w:space="0"/>
            </w:tcBorders>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严春燕</w:t>
            </w:r>
          </w:p>
        </w:tc>
        <w:tc>
          <w:tcPr>
            <w:tcW w:w="2539" w:type="dxa"/>
            <w:tcBorders>
              <w:bottom w:val="double" w:color="auto" w:sz="4" w:space="0"/>
            </w:tcBorders>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岳麓支行副行长</w:t>
            </w:r>
          </w:p>
        </w:tc>
        <w:tc>
          <w:tcPr>
            <w:tcW w:w="1867" w:type="dxa"/>
            <w:tcBorders>
              <w:bottom w:val="double" w:color="auto" w:sz="4" w:space="0"/>
            </w:tcBorders>
            <w:vAlign w:val="center"/>
          </w:tcPr>
          <w:p>
            <w:pPr>
              <w:pStyle w:val="15"/>
              <w:spacing w:afterAutospacing="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85579459；13875864330</w:t>
            </w:r>
          </w:p>
        </w:tc>
      </w:tr>
    </w:tbl>
    <w:p>
      <w:pPr>
        <w:adjustRightInd w:val="0"/>
        <w:snapToGrid w:val="0"/>
        <w:spacing w:line="360" w:lineRule="auto"/>
        <w:rPr>
          <w:rFonts w:hint="eastAsia" w:ascii="仿宋_GB2312" w:hAnsi="仿宋_GB2312" w:eastAsia="仿宋_GB2312" w:cs="仿宋_GB2312"/>
          <w:b/>
          <w:bCs/>
          <w:color w:val="auto"/>
          <w:sz w:val="24"/>
          <w:highlight w:val="none"/>
        </w:rPr>
      </w:pPr>
    </w:p>
    <w:p>
      <w:pPr>
        <w:adjustRightInd w:val="0"/>
        <w:snapToGrid w:val="0"/>
        <w:spacing w:line="360" w:lineRule="auto"/>
        <w:rPr>
          <w:rFonts w:hint="eastAsia" w:ascii="仿宋_GB2312" w:hAnsi="仿宋_GB2312" w:eastAsia="仿宋_GB2312" w:cs="仿宋_GB2312"/>
          <w:b/>
          <w:bCs/>
          <w:color w:val="auto"/>
          <w:szCs w:val="21"/>
          <w:highlight w:val="none"/>
        </w:rPr>
      </w:pP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color w:val="auto"/>
          <w:szCs w:val="21"/>
          <w:highlight w:val="none"/>
        </w:rPr>
        <w:t>附页3</w:t>
      </w:r>
    </w:p>
    <w:p>
      <w:pPr>
        <w:adjustRightInd w:val="0"/>
        <w:snapToGrid w:val="0"/>
        <w:spacing w:line="360" w:lineRule="auto"/>
        <w:jc w:val="center"/>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kern w:val="0"/>
          <w:sz w:val="28"/>
          <w:szCs w:val="28"/>
          <w:highlight w:val="none"/>
        </w:rPr>
        <w:t>湖南省政府采购信用担保试点工作的</w:t>
      </w:r>
      <w:r>
        <w:rPr>
          <w:rFonts w:hint="eastAsia" w:ascii="仿宋_GB2312" w:hAnsi="仿宋_GB2312" w:eastAsia="仿宋_GB2312" w:cs="仿宋_GB2312"/>
          <w:b/>
          <w:color w:val="auto"/>
          <w:sz w:val="28"/>
          <w:szCs w:val="28"/>
          <w:highlight w:val="none"/>
        </w:rPr>
        <w:t>信用担保机构名单</w:t>
      </w:r>
    </w:p>
    <w:tbl>
      <w:tblPr>
        <w:tblStyle w:val="29"/>
        <w:tblW w:w="918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320"/>
        <w:gridCol w:w="1080"/>
        <w:gridCol w:w="378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50" w:hRule="atLeast"/>
        </w:trPr>
        <w:tc>
          <w:tcPr>
            <w:tcW w:w="4320" w:type="dxa"/>
            <w:tcBorders>
              <w:top w:val="double" w:color="auto" w:sz="4" w:space="0"/>
            </w:tcBorders>
            <w:vAlign w:val="center"/>
          </w:tcPr>
          <w:p>
            <w:pPr>
              <w:adjustRightInd w:val="0"/>
              <w:snapToGrid w:val="0"/>
              <w:spacing w:line="240" w:lineRule="exact"/>
              <w:jc w:val="center"/>
              <w:rPr>
                <w:rFonts w:hint="eastAsia" w:ascii="仿宋_GB2312" w:hAnsi="仿宋_GB2312" w:eastAsia="仿宋_GB2312" w:cs="仿宋_GB2312"/>
                <w:b/>
                <w:bCs/>
                <w:color w:val="auto"/>
                <w:kern w:val="0"/>
                <w:sz w:val="24"/>
                <w:highlight w:val="none"/>
              </w:rPr>
            </w:pPr>
            <w:r>
              <w:rPr>
                <w:rFonts w:hint="eastAsia" w:ascii="仿宋_GB2312" w:hAnsi="仿宋_GB2312" w:eastAsia="仿宋_GB2312" w:cs="仿宋_GB2312"/>
                <w:b/>
                <w:color w:val="auto"/>
                <w:sz w:val="24"/>
                <w:highlight w:val="none"/>
              </w:rPr>
              <w:t>信用担保机构</w:t>
            </w:r>
          </w:p>
        </w:tc>
        <w:tc>
          <w:tcPr>
            <w:tcW w:w="1080" w:type="dxa"/>
            <w:tcBorders>
              <w:top w:val="double" w:color="auto" w:sz="4" w:space="0"/>
            </w:tcBorders>
            <w:vAlign w:val="center"/>
          </w:tcPr>
          <w:p>
            <w:pPr>
              <w:adjustRightInd w:val="0"/>
              <w:snapToGrid w:val="0"/>
              <w:spacing w:line="240" w:lineRule="exact"/>
              <w:jc w:val="center"/>
              <w:rPr>
                <w:rFonts w:hint="eastAsia" w:ascii="仿宋_GB2312" w:hAnsi="仿宋_GB2312" w:eastAsia="仿宋_GB2312" w:cs="仿宋_GB2312"/>
                <w:b/>
                <w:bCs/>
                <w:color w:val="auto"/>
                <w:kern w:val="0"/>
                <w:sz w:val="24"/>
                <w:highlight w:val="none"/>
              </w:rPr>
            </w:pPr>
            <w:r>
              <w:rPr>
                <w:rFonts w:hint="eastAsia" w:ascii="仿宋_GB2312" w:hAnsi="仿宋_GB2312" w:eastAsia="仿宋_GB2312" w:cs="仿宋_GB2312"/>
                <w:b/>
                <w:color w:val="auto"/>
                <w:sz w:val="24"/>
                <w:highlight w:val="none"/>
              </w:rPr>
              <w:t>联系人</w:t>
            </w:r>
          </w:p>
        </w:tc>
        <w:tc>
          <w:tcPr>
            <w:tcW w:w="3780" w:type="dxa"/>
            <w:tcBorders>
              <w:top w:val="double" w:color="auto" w:sz="4" w:space="0"/>
            </w:tcBorders>
            <w:vAlign w:val="center"/>
          </w:tcPr>
          <w:p>
            <w:pPr>
              <w:adjustRightInd w:val="0"/>
              <w:snapToGrid w:val="0"/>
              <w:spacing w:line="240" w:lineRule="exact"/>
              <w:jc w:val="center"/>
              <w:rPr>
                <w:rFonts w:hint="eastAsia" w:ascii="仿宋_GB2312" w:hAnsi="仿宋_GB2312" w:eastAsia="仿宋_GB2312" w:cs="仿宋_GB2312"/>
                <w:b/>
                <w:bCs/>
                <w:color w:val="auto"/>
                <w:kern w:val="0"/>
                <w:sz w:val="24"/>
                <w:highlight w:val="none"/>
              </w:rPr>
            </w:pPr>
            <w:r>
              <w:rPr>
                <w:rFonts w:hint="eastAsia" w:ascii="仿宋_GB2312" w:hAnsi="仿宋_GB2312" w:eastAsia="仿宋_GB2312" w:cs="仿宋_GB2312"/>
                <w:b/>
                <w:color w:val="auto"/>
                <w:sz w:val="24"/>
                <w:highlight w:val="none"/>
              </w:rPr>
              <w:t>联系电话</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15" w:hRule="atLeast"/>
        </w:trPr>
        <w:tc>
          <w:tcPr>
            <w:tcW w:w="4320" w:type="dxa"/>
            <w:vAlign w:val="center"/>
          </w:tcPr>
          <w:p>
            <w:pPr>
              <w:adjustRightInd w:val="0"/>
              <w:snapToGrid w:val="0"/>
              <w:spacing w:line="360" w:lineRule="auto"/>
              <w:jc w:val="left"/>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中国投资担保公司</w:t>
            </w:r>
          </w:p>
        </w:tc>
        <w:tc>
          <w:tcPr>
            <w:tcW w:w="1080" w:type="dxa"/>
            <w:vAlign w:val="center"/>
          </w:tcPr>
          <w:p>
            <w:pPr>
              <w:adjustRightInd w:val="0"/>
              <w:snapToGrid w:val="0"/>
              <w:spacing w:line="360" w:lineRule="auto"/>
              <w:jc w:val="center"/>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何  嘉</w:t>
            </w:r>
          </w:p>
        </w:tc>
        <w:tc>
          <w:tcPr>
            <w:tcW w:w="3780" w:type="dxa"/>
            <w:vAlign w:val="center"/>
          </w:tcPr>
          <w:p>
            <w:pPr>
              <w:adjustRightInd w:val="0"/>
              <w:snapToGrid w:val="0"/>
              <w:spacing w:line="360" w:lineRule="auto"/>
              <w:jc w:val="left"/>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010-88822659/13718642233</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55" w:hRule="atLeast"/>
        </w:trPr>
        <w:tc>
          <w:tcPr>
            <w:tcW w:w="4320" w:type="dxa"/>
            <w:vAlign w:val="center"/>
          </w:tcPr>
          <w:p>
            <w:pPr>
              <w:adjustRightInd w:val="0"/>
              <w:snapToGrid w:val="0"/>
              <w:spacing w:line="360" w:lineRule="auto"/>
              <w:jc w:val="left"/>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湖南省中小企业信用担保有限责任公司</w:t>
            </w:r>
          </w:p>
        </w:tc>
        <w:tc>
          <w:tcPr>
            <w:tcW w:w="1080" w:type="dxa"/>
            <w:vAlign w:val="center"/>
          </w:tcPr>
          <w:p>
            <w:pPr>
              <w:adjustRightInd w:val="0"/>
              <w:snapToGrid w:val="0"/>
              <w:spacing w:line="360" w:lineRule="auto"/>
              <w:jc w:val="center"/>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蔡建雄</w:t>
            </w:r>
          </w:p>
        </w:tc>
        <w:tc>
          <w:tcPr>
            <w:tcW w:w="3780" w:type="dxa"/>
            <w:vAlign w:val="center"/>
          </w:tcPr>
          <w:p>
            <w:pPr>
              <w:adjustRightInd w:val="0"/>
              <w:snapToGrid w:val="0"/>
              <w:spacing w:line="360" w:lineRule="auto"/>
              <w:jc w:val="left"/>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0731-84172390-201/15573193555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198" w:hRule="atLeast"/>
        </w:trPr>
        <w:tc>
          <w:tcPr>
            <w:tcW w:w="4320" w:type="dxa"/>
            <w:tcBorders>
              <w:bottom w:val="double" w:color="auto" w:sz="4" w:space="0"/>
            </w:tcBorders>
            <w:vAlign w:val="center"/>
          </w:tcPr>
          <w:p>
            <w:pPr>
              <w:adjustRightInd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湖南农业信用担保有限公司</w:t>
            </w:r>
          </w:p>
        </w:tc>
        <w:tc>
          <w:tcPr>
            <w:tcW w:w="1080" w:type="dxa"/>
            <w:tcBorders>
              <w:bottom w:val="double" w:color="auto" w:sz="4" w:space="0"/>
            </w:tcBorders>
            <w:vAlign w:val="center"/>
          </w:tcPr>
          <w:p>
            <w:pPr>
              <w:adjustRightInd w:val="0"/>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彭  球</w:t>
            </w:r>
          </w:p>
          <w:p>
            <w:pPr>
              <w:adjustRightInd w:val="0"/>
              <w:snapToGrid w:val="0"/>
              <w:spacing w:line="360" w:lineRule="auto"/>
              <w:jc w:val="center"/>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邓霞英</w:t>
            </w:r>
          </w:p>
        </w:tc>
        <w:tc>
          <w:tcPr>
            <w:tcW w:w="3780" w:type="dxa"/>
            <w:tcBorders>
              <w:bottom w:val="double" w:color="auto" w:sz="4" w:space="0"/>
            </w:tcBorders>
            <w:vAlign w:val="center"/>
          </w:tcPr>
          <w:p>
            <w:pPr>
              <w:adjustRightInd w:val="0"/>
              <w:snapToGrid w:val="0"/>
              <w:spacing w:line="360" w:lineRule="auto"/>
              <w:jc w:val="left"/>
              <w:rPr>
                <w:rFonts w:hint="eastAsia" w:ascii="仿宋_GB2312" w:hAnsi="仿宋_GB2312" w:eastAsia="仿宋_GB2312" w:cs="仿宋_GB2312"/>
                <w:bCs/>
                <w:color w:val="auto"/>
                <w:kern w:val="0"/>
                <w:sz w:val="24"/>
                <w:highlight w:val="none"/>
              </w:rPr>
            </w:pPr>
            <w:r>
              <w:rPr>
                <w:rFonts w:hint="eastAsia" w:ascii="仿宋_GB2312" w:hAnsi="仿宋_GB2312" w:eastAsia="仿宋_GB2312" w:cs="仿宋_GB2312"/>
                <w:color w:val="auto"/>
                <w:sz w:val="24"/>
                <w:highlight w:val="none"/>
              </w:rPr>
              <w:t>0731-89761702/13875980906 0731-89761706/13574125851</w:t>
            </w:r>
          </w:p>
        </w:tc>
      </w:tr>
    </w:tbl>
    <w:p>
      <w:pPr>
        <w:adjustRightInd w:val="0"/>
        <w:snapToGrid w:val="0"/>
        <w:spacing w:line="360" w:lineRule="auto"/>
        <w:rPr>
          <w:rFonts w:hint="eastAsia" w:ascii="仿宋_GB2312" w:hAnsi="仿宋_GB2312" w:eastAsia="仿宋_GB2312" w:cs="仿宋_GB2312"/>
          <w:b/>
          <w:color w:val="auto"/>
          <w:szCs w:val="21"/>
          <w:highlight w:val="none"/>
        </w:rPr>
        <w:sectPr>
          <w:footerReference r:id="rId5" w:type="default"/>
          <w:pgSz w:w="11906" w:h="16838"/>
          <w:pgMar w:top="1474" w:right="1418" w:bottom="1417" w:left="1474" w:header="879" w:footer="935" w:gutter="0"/>
          <w:cols w:space="720" w:num="1"/>
          <w:docGrid w:type="lines" w:linePitch="312" w:charSpace="0"/>
        </w:sectPr>
      </w:pP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color w:val="auto"/>
          <w:szCs w:val="21"/>
          <w:highlight w:val="none"/>
        </w:rPr>
        <w:t>附页4</w:t>
      </w:r>
    </w:p>
    <w:p>
      <w:pPr>
        <w:adjustRightInd w:val="0"/>
        <w:snapToGrid w:val="0"/>
        <w:spacing w:line="360" w:lineRule="auto"/>
        <w:jc w:val="center"/>
        <w:rPr>
          <w:rFonts w:hint="eastAsia"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政府采购履约担保函</w:t>
      </w:r>
    </w:p>
    <w:p>
      <w:pPr>
        <w:adjustRightInd w:val="0"/>
        <w:snapToGrid w:val="0"/>
        <w:spacing w:line="360" w:lineRule="auto"/>
        <w:ind w:firstLine="7440" w:firstLineChars="31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color w:val="auto"/>
          <w:kern w:val="0"/>
          <w:sz w:val="24"/>
          <w:highlight w:val="none"/>
        </w:rPr>
        <w:t>编号：</w:t>
      </w:r>
      <w:r>
        <w:rPr>
          <w:rFonts w:hint="eastAsia" w:ascii="仿宋_GB2312" w:hAnsi="仿宋_GB2312" w:eastAsia="仿宋_GB2312" w:cs="仿宋_GB2312"/>
          <w:color w:val="auto"/>
          <w:kern w:val="0"/>
          <w:sz w:val="24"/>
          <w:highlight w:val="none"/>
          <w:u w:val="single"/>
        </w:rPr>
        <w:t xml:space="preserve">              </w:t>
      </w:r>
    </w:p>
    <w:p>
      <w:pPr>
        <w:adjustRightInd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 xml:space="preserve">（采购人）： </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鉴于你方与</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（以下简称供应商）于</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年</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月</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日签定编号为</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的《</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政府采购合同》（以下简称主合同），且依据该合同的约定，供应商应在</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年</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月</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日前向你方交纳履约保证金，且可以履约担保函的形式交纳履约保证金。应供应商的申请，我方以保证的方式向你方提供如下履约保证金担保：</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一、保证责任的情形及保证金额</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（一）在供应商出现下列情形之一时，我方承担保证责任：</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1．将中标项目转让给他人，或者在投标文件中未说明，且未经采购人同意，将中标项目分包给他人的；</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2．主合同约定的应当缴纳履约保证金的情形: </w:t>
      </w:r>
    </w:p>
    <w:p>
      <w:pPr>
        <w:adjustRightInd w:val="0"/>
        <w:snapToGrid w:val="0"/>
        <w:spacing w:line="360" w:lineRule="auto"/>
        <w:ind w:firstLine="480"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color w:val="auto"/>
          <w:kern w:val="0"/>
          <w:sz w:val="24"/>
          <w:highlight w:val="none"/>
        </w:rPr>
        <w:t xml:space="preserve">（1）未按主合同约定的质量、数量和期限供应货物/提供服务/完成工程的； </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u w:val="single"/>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（二）我方的保证范围是主合同约定的合同价款总额的</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%数额为</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元（大写</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），币种为</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。（即主合同履约保证金金额）</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 xml:space="preserve">二、保证的方式及保证期间 </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我方保证的方式为：连带责任保证。 </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我方保证的期间为：自本合同生效之日起至供应商按照主合同约定的供货/完工期限届满后</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日内。</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如果供应商未按主合同约定向贵方供应货物/提供服务/完成工程的，由我方在保证金额内向你方支付上述款项。 </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三、承担保证责任的程序</w:t>
      </w:r>
    </w:p>
    <w:p>
      <w:pPr>
        <w:adjustRightInd w:val="0"/>
        <w:snapToGrid w:val="0"/>
        <w:spacing w:line="360" w:lineRule="auto"/>
        <w:ind w:firstLine="480"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color w:val="auto"/>
          <w:kern w:val="0"/>
          <w:sz w:val="24"/>
          <w:highlight w:val="none"/>
        </w:rPr>
        <w:t xml:space="preserve">1．你方要求我方承担保证责任的，应在本保函保证期间内向我方发出书面索赔通知。索赔通知应写明要求索赔的金额，支付款项应到达的帐号。并附有证明供应商违约事实的证明材料。 </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如果你方与供应商因货物质量问题产生争议，你方还需同时提供</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部门出具的质量检测报告，或经诉讼（仲裁）程序裁决后的裁决书、调解书，本保证人即按照检测结果或裁决书、调解书决定是否承担保证责任。</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2．我方收到你方的书面索赔通知及相应证明材料，在</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工作日内进行核定后按照本保函的承诺承担保证责任。</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四、保证责任的终止</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2．我方按照本保函向你方履行了保证责任后，自我方向你方支付款项（支付款项从我方账户划出）之日起，保证责任即终止。</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3．按照法律法规的规定或出现应终止我方保证责任的其它情形的，我方在本保函项下的保证责任亦终止。</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五、免责条款</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1．因你方违反主合同约定致使供应商不能履行义务的，我方不承担保证责任。</w:t>
      </w:r>
    </w:p>
    <w:p>
      <w:pPr>
        <w:adjustRightInd w:val="0"/>
        <w:snapToGrid w:val="0"/>
        <w:spacing w:line="360" w:lineRule="auto"/>
        <w:ind w:firstLine="480"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color w:val="auto"/>
          <w:kern w:val="0"/>
          <w:sz w:val="24"/>
          <w:highlight w:val="none"/>
        </w:rPr>
        <w:t>2．依照法律法规的规定或你方与供应商的另行约定，全部或者部分免除供应商应缴纳的保证金义务的，我方亦免除相应的保证责任。</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3．因不可抗力造成供应商不能履行供货义务的，我方不承担保证责任。</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六、争议的解决</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因本保函发生的纠纷，由你我双方协商解决，协商不成的，通过诉讼程序解决，诉讼管辖地法院为</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法院。</w:t>
      </w:r>
    </w:p>
    <w:p>
      <w:pPr>
        <w:adjustRightInd w:val="0"/>
        <w:snapToGrid w:val="0"/>
        <w:spacing w:line="360" w:lineRule="auto"/>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 xml:space="preserve">七、保函的生效 </w:t>
      </w:r>
    </w:p>
    <w:p>
      <w:pPr>
        <w:adjustRightInd w:val="0"/>
        <w:snapToGrid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本保函自我方加盖公章之日起生效。 </w:t>
      </w:r>
    </w:p>
    <w:p>
      <w:pPr>
        <w:tabs>
          <w:tab w:val="left" w:pos="2850"/>
        </w:tabs>
        <w:adjustRightInd w:val="0"/>
        <w:snapToGrid w:val="0"/>
        <w:spacing w:line="360" w:lineRule="auto"/>
        <w:jc w:val="righ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rPr>
        <w:tab/>
      </w:r>
      <w:r>
        <w:rPr>
          <w:rFonts w:hint="eastAsia" w:ascii="仿宋_GB2312" w:hAnsi="仿宋_GB2312" w:eastAsia="仿宋_GB2312" w:cs="仿宋_GB2312"/>
          <w:color w:val="auto"/>
          <w:kern w:val="0"/>
          <w:sz w:val="24"/>
          <w:highlight w:val="none"/>
        </w:rPr>
        <w:t xml:space="preserve">          保证人：（公章） </w:t>
      </w:r>
    </w:p>
    <w:p>
      <w:pPr>
        <w:adjustRightInd w:val="0"/>
        <w:snapToGrid w:val="0"/>
        <w:spacing w:line="360" w:lineRule="auto"/>
        <w:jc w:val="right"/>
        <w:rPr>
          <w:rFonts w:hint="eastAsia" w:ascii="仿宋_GB2312" w:hAnsi="仿宋_GB2312" w:eastAsia="仿宋_GB2312" w:cs="仿宋_GB2312"/>
          <w:color w:val="auto"/>
          <w:kern w:val="0"/>
          <w:sz w:val="24"/>
          <w:highlight w:val="none"/>
        </w:rPr>
        <w:sectPr>
          <w:headerReference r:id="rId6" w:type="default"/>
          <w:footerReference r:id="rId7" w:type="default"/>
          <w:pgSz w:w="11906" w:h="16838"/>
          <w:pgMar w:top="1440" w:right="1531" w:bottom="1440" w:left="1531" w:header="851" w:footer="992" w:gutter="0"/>
          <w:cols w:space="720" w:num="1"/>
          <w:docGrid w:type="lines" w:linePitch="312" w:charSpace="0"/>
        </w:sectPr>
      </w:pP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 xml:space="preserve"> 年</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月</w:t>
      </w:r>
    </w:p>
    <w:p>
      <w:pPr>
        <w:adjustRightInd w:val="0"/>
        <w:snapToGrid w:val="0"/>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磋商须知正文</w:t>
      </w:r>
    </w:p>
    <w:p>
      <w:pPr>
        <w:adjustRightInd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一、说明</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1.适用范围</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1.1 本磋商文件仅适用于磋商须知前附表(以下简称</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中所叙述的采购项目。</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2.定义</w:t>
      </w:r>
    </w:p>
    <w:p>
      <w:pPr>
        <w:adjustRightInd w:val="0"/>
        <w:snapToGrid w:val="0"/>
        <w:spacing w:line="360" w:lineRule="auto"/>
        <w:ind w:firstLine="420" w:firstLineChars="200"/>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color w:val="auto"/>
          <w:szCs w:val="21"/>
          <w:highlight w:val="none"/>
        </w:rPr>
        <w:t>2.1 “采购人”是指依法进行政府采购的国家机关、事业单位、团体组织。本次政府采购的采购人名称、地址、电话、联系人见</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w:t>
      </w:r>
    </w:p>
    <w:p>
      <w:pPr>
        <w:adjustRightInd w:val="0"/>
        <w:snapToGrid w:val="0"/>
        <w:spacing w:line="360" w:lineRule="auto"/>
        <w:ind w:firstLine="420" w:firstLineChars="200"/>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color w:val="auto"/>
          <w:szCs w:val="21"/>
          <w:highlight w:val="none"/>
        </w:rPr>
        <w:t>2.2 “采购代理机构”是指接受采购人委托，代理采购项目的集中采购机构和其他采购代理机构。本次政府采购的采购代理机构名称、地址、电话、联系人见</w:t>
      </w:r>
      <w:r>
        <w:rPr>
          <w:rFonts w:hint="eastAsia" w:ascii="仿宋_GB2312" w:hAnsi="仿宋_GB2312" w:eastAsia="仿宋_GB2312" w:cs="仿宋_GB2312"/>
          <w:b/>
          <w:color w:val="auto"/>
          <w:szCs w:val="21"/>
          <w:highlight w:val="none"/>
        </w:rPr>
        <w:t>磋商须知前附表。</w:t>
      </w:r>
    </w:p>
    <w:p>
      <w:pPr>
        <w:adjustRightInd w:val="0"/>
        <w:snapToGrid w:val="0"/>
        <w:spacing w:line="360" w:lineRule="auto"/>
        <w:ind w:firstLine="420" w:firstLineChars="200"/>
        <w:rPr>
          <w:rFonts w:hint="eastAsia" w:ascii="仿宋_GB2312" w:hAnsi="仿宋_GB2312" w:eastAsia="仿宋_GB2312" w:cs="仿宋_GB2312"/>
          <w:bCs/>
          <w:color w:val="auto"/>
          <w:kern w:val="36"/>
          <w:szCs w:val="21"/>
          <w:highlight w:val="none"/>
        </w:rPr>
      </w:pPr>
      <w:r>
        <w:rPr>
          <w:rFonts w:hint="eastAsia" w:ascii="仿宋_GB2312" w:hAnsi="仿宋_GB2312" w:eastAsia="仿宋_GB2312" w:cs="仿宋_GB2312"/>
          <w:color w:val="auto"/>
          <w:szCs w:val="21"/>
          <w:highlight w:val="none"/>
        </w:rPr>
        <w:t>2.3 “供应商”是指响应磋商文件要求、参加竞争性磋商采购的法人、其他组织或者自然人。本次政府采购项目</w:t>
      </w:r>
      <w:r>
        <w:rPr>
          <w:rFonts w:hint="eastAsia" w:ascii="仿宋_GB2312" w:hAnsi="仿宋_GB2312" w:eastAsia="仿宋_GB2312" w:cs="仿宋_GB2312"/>
          <w:color w:val="auto"/>
          <w:kern w:val="0"/>
          <w:szCs w:val="21"/>
          <w:highlight w:val="none"/>
        </w:rPr>
        <w:t>邀请</w:t>
      </w:r>
      <w:r>
        <w:rPr>
          <w:rFonts w:hint="eastAsia" w:ascii="仿宋_GB2312" w:hAnsi="仿宋_GB2312" w:eastAsia="仿宋_GB2312" w:cs="仿宋_GB2312"/>
          <w:color w:val="auto"/>
          <w:szCs w:val="21"/>
          <w:highlight w:val="none"/>
        </w:rPr>
        <w:t>的</w:t>
      </w:r>
      <w:r>
        <w:rPr>
          <w:rFonts w:hint="eastAsia" w:ascii="仿宋_GB2312" w:hAnsi="仿宋_GB2312" w:eastAsia="仿宋_GB2312" w:cs="仿宋_GB2312"/>
          <w:color w:val="auto"/>
          <w:kern w:val="0"/>
          <w:szCs w:val="21"/>
          <w:highlight w:val="none"/>
        </w:rPr>
        <w:t>供应商通过</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所述方式</w:t>
      </w:r>
      <w:r>
        <w:rPr>
          <w:rFonts w:hint="eastAsia" w:ascii="仿宋_GB2312" w:hAnsi="仿宋_GB2312" w:eastAsia="仿宋_GB2312" w:cs="仿宋_GB2312"/>
          <w:color w:val="auto"/>
          <w:kern w:val="0"/>
          <w:szCs w:val="21"/>
          <w:highlight w:val="none"/>
        </w:rPr>
        <w:t>，邀请符合资格条件的供应商提交响应文件（含资格证明资料），参与竞争性磋商采购活动。</w:t>
      </w:r>
    </w:p>
    <w:p>
      <w:pPr>
        <w:adjustRightInd w:val="0"/>
        <w:snapToGrid w:val="0"/>
        <w:spacing w:line="360" w:lineRule="auto"/>
        <w:ind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2.4 “磋商小组”是指</w:t>
      </w:r>
      <w:r>
        <w:rPr>
          <w:rFonts w:hint="eastAsia" w:ascii="仿宋_GB2312" w:hAnsi="仿宋_GB2312" w:eastAsia="仿宋_GB2312" w:cs="仿宋_GB2312"/>
          <w:color w:val="auto"/>
          <w:kern w:val="0"/>
          <w:szCs w:val="21"/>
          <w:highlight w:val="none"/>
        </w:rPr>
        <w:t>依据财政部</w:t>
      </w:r>
      <w:r>
        <w:rPr>
          <w:rFonts w:hint="eastAsia" w:ascii="仿宋_GB2312" w:hAnsi="仿宋_GB2312" w:eastAsia="仿宋_GB2312" w:cs="仿宋_GB2312"/>
          <w:bCs/>
          <w:color w:val="auto"/>
          <w:kern w:val="36"/>
          <w:szCs w:val="21"/>
          <w:highlight w:val="none"/>
        </w:rPr>
        <w:t>《政府采购竞争性磋商采购方式管理暂行办法》有关规定组建，依法依规</w:t>
      </w:r>
      <w:r>
        <w:rPr>
          <w:rFonts w:hint="eastAsia" w:ascii="仿宋_GB2312" w:hAnsi="仿宋_GB2312" w:eastAsia="仿宋_GB2312" w:cs="仿宋_GB2312"/>
          <w:color w:val="auto"/>
          <w:kern w:val="0"/>
          <w:szCs w:val="21"/>
          <w:highlight w:val="none"/>
        </w:rPr>
        <w:t>履行其职责和义务的机构。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2.5 “货物”是指各种形态和种类的物品，包括原资料、燃料、设备、产品等，详见《政府采购品目分类目录》(</w:t>
      </w:r>
      <w:r>
        <w:rPr>
          <w:rStyle w:val="18"/>
          <w:rFonts w:hint="eastAsia" w:ascii="仿宋_GB2312" w:hAnsi="仿宋_GB2312" w:eastAsia="仿宋_GB2312" w:cs="仿宋_GB2312"/>
          <w:b w:val="0"/>
          <w:bCs/>
          <w:color w:val="auto"/>
          <w:highlight w:val="none"/>
        </w:rPr>
        <w:t>财库[2013]189号</w:t>
      </w:r>
      <w:r>
        <w:rPr>
          <w:rFonts w:hint="eastAsia" w:ascii="仿宋_GB2312" w:hAnsi="仿宋_GB2312" w:eastAsia="仿宋_GB2312" w:cs="仿宋_GB2312"/>
          <w:color w:val="auto"/>
          <w:szCs w:val="21"/>
          <w:highlight w:val="none"/>
        </w:rPr>
        <w:t>)。</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2.6 “工程”是指建设工程，包括建筑物和构筑物的新建、改建、扩建、装修、拆除、修缮等，详见《政府采购品目分类目录》(</w:t>
      </w:r>
      <w:r>
        <w:rPr>
          <w:rStyle w:val="18"/>
          <w:rFonts w:hint="eastAsia" w:ascii="仿宋_GB2312" w:hAnsi="仿宋_GB2312" w:eastAsia="仿宋_GB2312" w:cs="仿宋_GB2312"/>
          <w:b w:val="0"/>
          <w:bCs/>
          <w:color w:val="auto"/>
          <w:highlight w:val="none"/>
        </w:rPr>
        <w:t>财库[2013]189号</w:t>
      </w:r>
      <w:r>
        <w:rPr>
          <w:rFonts w:hint="eastAsia" w:ascii="仿宋_GB2312" w:hAnsi="仿宋_GB2312" w:eastAsia="仿宋_GB2312" w:cs="仿宋_GB2312"/>
          <w:color w:val="auto"/>
          <w:szCs w:val="21"/>
          <w:highlight w:val="none"/>
        </w:rPr>
        <w:t>)。</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2.7 “服务”是指除货物和工程以外的其他政府采购对象，详见《政府采购品目分类目录》(</w:t>
      </w:r>
      <w:r>
        <w:rPr>
          <w:rStyle w:val="18"/>
          <w:rFonts w:hint="eastAsia" w:ascii="仿宋_GB2312" w:hAnsi="仿宋_GB2312" w:eastAsia="仿宋_GB2312" w:cs="仿宋_GB2312"/>
          <w:b w:val="0"/>
          <w:bCs/>
          <w:color w:val="auto"/>
          <w:highlight w:val="none"/>
        </w:rPr>
        <w:t>财库[2013]189号</w:t>
      </w:r>
      <w:r>
        <w:rPr>
          <w:rFonts w:hint="eastAsia" w:ascii="仿宋_GB2312" w:hAnsi="仿宋_GB2312" w:eastAsia="仿宋_GB2312" w:cs="仿宋_GB2312"/>
          <w:color w:val="auto"/>
          <w:szCs w:val="21"/>
          <w:highlight w:val="none"/>
        </w:rPr>
        <w:t>)。</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rPr>
        <w:t>2.8</w:t>
      </w:r>
      <w:r>
        <w:rPr>
          <w:rFonts w:hint="eastAsia" w:ascii="仿宋_GB2312" w:hAnsi="仿宋_GB2312" w:eastAsia="仿宋_GB2312" w:cs="仿宋_GB2312"/>
          <w:color w:val="auto"/>
          <w:szCs w:val="21"/>
          <w:highlight w:val="none"/>
        </w:rPr>
        <w:t xml:space="preserve"> “节能产品”或者“环保产品”是指财政部发布的《节能产品政府采购清单》或者《环境标志产品政府采购清单》的产品，“两型产品”是指湖南省财政厅发布的《湖南省两型产品政府采购目录》或《长沙市两型产品目录》的产品。</w:t>
      </w:r>
    </w:p>
    <w:p>
      <w:pPr>
        <w:adjustRightInd w:val="0"/>
        <w:snapToGrid w:val="0"/>
        <w:spacing w:line="360" w:lineRule="auto"/>
        <w:ind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2.9</w:t>
      </w:r>
      <w:r>
        <w:rPr>
          <w:rFonts w:hint="eastAsia" w:ascii="仿宋_GB2312" w:hAnsi="仿宋_GB2312" w:eastAsia="仿宋_GB2312" w:cs="仿宋_GB2312"/>
          <w:color w:val="auto"/>
          <w:kern w:val="0"/>
          <w:szCs w:val="21"/>
          <w:highlight w:val="none"/>
        </w:rPr>
        <w:t xml:space="preserve"> “进口产品”是指通过中国海关报关验放进入中国境内且产自关境外的产品，详见《关于政府采购进口产品管理有关问题的通知》(财库[2007]119号)。</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3.供应商的资格要求</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3.1供应商应当符合</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中规定的资格条件要求。</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3.2允许联合体投标的，供应商</w:t>
      </w:r>
      <w:r>
        <w:rPr>
          <w:rFonts w:hint="eastAsia" w:ascii="仿宋_GB2312" w:hAnsi="仿宋_GB2312" w:eastAsia="仿宋_GB2312" w:cs="仿宋_GB2312"/>
          <w:color w:val="auto"/>
          <w:highlight w:val="none"/>
        </w:rPr>
        <w:t>为联合体形式的</w:t>
      </w:r>
      <w:r>
        <w:rPr>
          <w:rFonts w:hint="eastAsia" w:ascii="仿宋_GB2312" w:hAnsi="仿宋_GB2312" w:eastAsia="仿宋_GB2312" w:cs="仿宋_GB2312"/>
          <w:color w:val="auto"/>
          <w:szCs w:val="21"/>
          <w:highlight w:val="none"/>
        </w:rPr>
        <w:t>，除应满足本章第3.1款资格条件要求及第3.3款规定外，还应遵守以下规定：</w:t>
      </w:r>
    </w:p>
    <w:p>
      <w:pPr>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lang w:val="zh-CN"/>
        </w:rPr>
      </w:pPr>
      <w:r>
        <w:rPr>
          <w:rFonts w:hint="eastAsia" w:ascii="仿宋_GB2312" w:hAnsi="仿宋_GB2312" w:eastAsia="仿宋_GB2312" w:cs="仿宋_GB2312"/>
          <w:color w:val="auto"/>
          <w:kern w:val="0"/>
          <w:szCs w:val="21"/>
          <w:highlight w:val="none"/>
          <w:lang w:val="zh-CN"/>
        </w:rPr>
        <w:t>（1）联合体各方应按磋商文件提供的格式签订联合体协议书，明确联合体牵头人和各方权利义务(含承担工作及工作量比例)；</w:t>
      </w:r>
    </w:p>
    <w:p>
      <w:pPr>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lang w:val="zh-CN"/>
        </w:rPr>
      </w:pPr>
      <w:r>
        <w:rPr>
          <w:rFonts w:hint="eastAsia" w:ascii="仿宋_GB2312" w:hAnsi="仿宋_GB2312" w:eastAsia="仿宋_GB2312" w:cs="仿宋_GB2312"/>
          <w:color w:val="auto"/>
          <w:kern w:val="0"/>
          <w:szCs w:val="21"/>
          <w:highlight w:val="none"/>
          <w:lang w:val="zh-CN"/>
        </w:rPr>
        <w:t>（2）联合体中有同类资质的供应商按照联合体分工承担相同工作的，应当按照资质等级较低的供应商确定资质等级；</w:t>
      </w:r>
    </w:p>
    <w:p>
      <w:pPr>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lang w:val="zh-CN"/>
        </w:rPr>
      </w:pPr>
      <w:r>
        <w:rPr>
          <w:rFonts w:hint="eastAsia" w:ascii="仿宋_GB2312" w:hAnsi="仿宋_GB2312" w:eastAsia="仿宋_GB2312" w:cs="仿宋_GB2312"/>
          <w:color w:val="auto"/>
          <w:kern w:val="0"/>
          <w:szCs w:val="21"/>
          <w:highlight w:val="none"/>
          <w:lang w:val="zh-CN"/>
        </w:rPr>
        <w:t>（3）以联合体形式参加政府采购活动的，联合体各方不得再单独参加或者与其他供应商另外组成联合体参加同一合同项下的政府采购活动。</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3.3 供应商不得存在下列情形之一：</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（l）与采购人、采购代理机构存在</w:t>
      </w:r>
      <w:r>
        <w:rPr>
          <w:rFonts w:hint="eastAsia" w:ascii="仿宋_GB2312" w:hAnsi="仿宋_GB2312" w:eastAsia="仿宋_GB2312" w:cs="仿宋_GB2312"/>
          <w:bCs/>
          <w:color w:val="auto"/>
          <w:szCs w:val="21"/>
          <w:highlight w:val="none"/>
        </w:rPr>
        <w:t>隶属关系或者其他利害关系</w:t>
      </w:r>
      <w:r>
        <w:rPr>
          <w:rFonts w:hint="eastAsia" w:ascii="仿宋_GB2312" w:hAnsi="仿宋_GB2312" w:eastAsia="仿宋_GB2312" w:cs="仿宋_GB2312"/>
          <w:color w:val="auto"/>
          <w:szCs w:val="21"/>
          <w:highlight w:val="none"/>
        </w:rPr>
        <w:t>。</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（2）与其他供应商的法定代表人（或者负责人）为同一人，或者与其他供应商存在直接控股、管理关系。</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w:t>
      </w:r>
      <w:r>
        <w:rPr>
          <w:rFonts w:hint="eastAsia" w:ascii="仿宋_GB2312" w:hAnsi="仿宋_GB2312" w:eastAsia="仿宋_GB2312" w:cs="仿宋_GB2312"/>
          <w:bCs/>
          <w:color w:val="auto"/>
          <w:szCs w:val="21"/>
          <w:highlight w:val="none"/>
        </w:rPr>
        <w:t>受到刑事处罚，或者受到三万元以上的罚款、责令停产停业、在一至三年内禁止参加政府采购活动、暂扣或者吊销许可证、暂扣或者吊销执照等情形之一的行政处罚，或者存在</w:t>
      </w:r>
      <w:r>
        <w:rPr>
          <w:rFonts w:hint="eastAsia" w:ascii="仿宋_GB2312" w:hAnsi="仿宋_GB2312" w:eastAsia="仿宋_GB2312" w:cs="仿宋_GB2312"/>
          <w:color w:val="auto"/>
          <w:szCs w:val="21"/>
          <w:highlight w:val="none"/>
        </w:rPr>
        <w:t>财政部门认定的其他重大违法记录。</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 xml:space="preserve">4.参与磋商的费用 </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4.1 无论磋商的结果如何，供应商应自行承担所有与竞争性磋商采购活动有关的全部费用。</w:t>
      </w:r>
    </w:p>
    <w:p>
      <w:pPr>
        <w:pStyle w:val="9"/>
        <w:adjustRightInd w:val="0"/>
        <w:snapToGrid w:val="0"/>
        <w:spacing w:line="360" w:lineRule="auto"/>
        <w:rPr>
          <w:rFonts w:hint="eastAsia" w:ascii="仿宋_GB2312" w:hAnsi="仿宋_GB2312" w:eastAsia="仿宋_GB2312" w:cs="仿宋_GB2312"/>
          <w:b/>
          <w:bCs/>
          <w:color w:val="auto"/>
          <w:highlight w:val="none"/>
        </w:rPr>
      </w:pPr>
      <w:r>
        <w:rPr>
          <w:rFonts w:hint="eastAsia" w:ascii="仿宋_GB2312" w:hAnsi="仿宋_GB2312" w:eastAsia="仿宋_GB2312" w:cs="仿宋_GB2312"/>
          <w:b/>
          <w:color w:val="auto"/>
          <w:highlight w:val="none"/>
        </w:rPr>
        <w:t>5．</w:t>
      </w:r>
      <w:r>
        <w:rPr>
          <w:rFonts w:hint="eastAsia" w:ascii="仿宋_GB2312" w:hAnsi="仿宋_GB2312" w:eastAsia="仿宋_GB2312" w:cs="仿宋_GB2312"/>
          <w:b/>
          <w:bCs/>
          <w:color w:val="auto"/>
          <w:highlight w:val="none"/>
        </w:rPr>
        <w:t>授权委托</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5.1供应商代表为供应商法定代表人的，应具备法定代表人身份证明。供应商代表不是供应商法定代表人的，应具备法定代表人授权书，并附法定代表人身份证明。</w:t>
      </w:r>
    </w:p>
    <w:p>
      <w:pPr>
        <w:pStyle w:val="9"/>
        <w:adjustRightInd w:val="0"/>
        <w:snapToGrid w:val="0"/>
        <w:spacing w:line="360" w:lineRule="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6．联合体形式</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6.1本次磋商采购</w:t>
      </w:r>
      <w:r>
        <w:rPr>
          <w:rFonts w:hint="eastAsia" w:ascii="仿宋_GB2312" w:hAnsi="仿宋_GB2312" w:eastAsia="仿宋_GB2312" w:cs="仿宋_GB2312"/>
          <w:color w:val="auto"/>
          <w:highlight w:val="none"/>
          <w:lang w:eastAsia="zh-CN"/>
        </w:rPr>
        <w:t>不</w:t>
      </w:r>
      <w:r>
        <w:rPr>
          <w:rFonts w:hint="eastAsia" w:ascii="仿宋_GB2312" w:hAnsi="仿宋_GB2312" w:eastAsia="仿宋_GB2312" w:cs="仿宋_GB2312"/>
          <w:color w:val="auto"/>
          <w:highlight w:val="none"/>
        </w:rPr>
        <w:t>接受为联合体形式的供应商。</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6.2供应商</w:t>
      </w:r>
      <w:r>
        <w:rPr>
          <w:rFonts w:hint="eastAsia" w:ascii="仿宋_GB2312" w:hAnsi="仿宋_GB2312" w:eastAsia="仿宋_GB2312" w:cs="仿宋_GB2312"/>
          <w:color w:val="auto"/>
          <w:highlight w:val="none"/>
        </w:rPr>
        <w:t>为联合体形式的</w:t>
      </w:r>
      <w:r>
        <w:rPr>
          <w:rFonts w:hint="eastAsia" w:ascii="仿宋_GB2312" w:hAnsi="仿宋_GB2312" w:eastAsia="仿宋_GB2312" w:cs="仿宋_GB2312"/>
          <w:color w:val="auto"/>
          <w:szCs w:val="21"/>
          <w:highlight w:val="none"/>
        </w:rPr>
        <w:t>，除应符合本章第3条规定外，还应遵守以下规定：</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（l）联合体各方必须签订联合体协议书，明确联合体牵头人和各方的义务、工作、合同工作量比例；</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（2）联合体各方均应当符合本章第3.1</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szCs w:val="21"/>
          <w:highlight w:val="none"/>
        </w:rPr>
        <w:t>规定的供应商基本资格条件；</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（3）联合体各方中至少有一方应当符合本章第3.1</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szCs w:val="21"/>
          <w:highlight w:val="none"/>
        </w:rPr>
        <w:t>规定的供应商特定资格条件；</w:t>
      </w:r>
    </w:p>
    <w:p>
      <w:pPr>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lang w:val="zh-CN"/>
        </w:rPr>
      </w:pPr>
      <w:r>
        <w:rPr>
          <w:rFonts w:hint="eastAsia" w:ascii="仿宋_GB2312" w:hAnsi="仿宋_GB2312" w:eastAsia="仿宋_GB2312" w:cs="仿宋_GB2312"/>
          <w:color w:val="auto"/>
          <w:szCs w:val="21"/>
          <w:highlight w:val="none"/>
        </w:rPr>
        <w:t>（4）</w:t>
      </w:r>
      <w:r>
        <w:rPr>
          <w:rFonts w:hint="eastAsia" w:ascii="仿宋_GB2312" w:hAnsi="仿宋_GB2312" w:eastAsia="仿宋_GB2312" w:cs="仿宋_GB2312"/>
          <w:color w:val="auto"/>
          <w:kern w:val="0"/>
          <w:szCs w:val="21"/>
          <w:highlight w:val="none"/>
          <w:lang w:val="zh-CN"/>
        </w:rPr>
        <w:t>联合体各方不得再单独或与其他供应商组成新的联合体参加同一项目的采购活动。</w:t>
      </w:r>
    </w:p>
    <w:p>
      <w:pPr>
        <w:adjustRightInd w:val="0"/>
        <w:snapToGrid w:val="0"/>
        <w:spacing w:line="360" w:lineRule="auto"/>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szCs w:val="21"/>
          <w:highlight w:val="none"/>
        </w:rPr>
        <w:t>7.现场勘察</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7.1供应商应按</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中规定</w:t>
      </w:r>
      <w:r>
        <w:rPr>
          <w:rFonts w:hint="eastAsia" w:ascii="仿宋_GB2312" w:hAnsi="仿宋_GB2312" w:eastAsia="仿宋_GB2312" w:cs="仿宋_GB2312"/>
          <w:color w:val="auto"/>
          <w:szCs w:val="21"/>
          <w:highlight w:val="none"/>
        </w:rPr>
        <w:t>对采购项目现场和周围环境的现场考察。</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7.2勘察现场的费用由供应商自己承担，勘察期间所发生的人身伤害及财产损失由供应商自己负责。</w:t>
      </w:r>
    </w:p>
    <w:p>
      <w:pPr>
        <w:adjustRightInd w:val="0"/>
        <w:snapToGrid w:val="0"/>
        <w:spacing w:line="360" w:lineRule="auto"/>
        <w:ind w:firstLine="420" w:firstLineChars="200"/>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color w:val="auto"/>
          <w:szCs w:val="21"/>
          <w:highlight w:val="none"/>
        </w:rPr>
        <w:t>7.3采购人不对供应商据此而做出的推论、理解和结论负责。一旦成交，供应商不得以任何借口，提出额外补偿，或延长合同期限的要求。</w:t>
      </w:r>
    </w:p>
    <w:p>
      <w:pPr>
        <w:adjustRightInd w:val="0"/>
        <w:snapToGrid w:val="0"/>
        <w:spacing w:line="360" w:lineRule="auto"/>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szCs w:val="21"/>
          <w:highlight w:val="none"/>
        </w:rPr>
        <w:t>8.采购进口产品</w:t>
      </w:r>
    </w:p>
    <w:p>
      <w:pPr>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8.1本项目为服务采购，</w:t>
      </w:r>
      <w:r>
        <w:rPr>
          <w:rFonts w:hint="eastAsia" w:ascii="仿宋_GB2312" w:hAnsi="仿宋_GB2312" w:eastAsia="仿宋_GB2312" w:cs="仿宋_GB2312"/>
          <w:color w:val="auto"/>
          <w:kern w:val="0"/>
          <w:szCs w:val="21"/>
          <w:highlight w:val="none"/>
        </w:rPr>
        <w:t>不涉及进口产品。</w:t>
      </w:r>
    </w:p>
    <w:p>
      <w:pPr>
        <w:adjustRightInd w:val="0"/>
        <w:snapToGrid w:val="0"/>
        <w:spacing w:line="360" w:lineRule="auto"/>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bCs/>
          <w:color w:val="auto"/>
          <w:szCs w:val="21"/>
          <w:highlight w:val="none"/>
        </w:rPr>
        <w:t>9.</w:t>
      </w:r>
      <w:r>
        <w:rPr>
          <w:rFonts w:hint="eastAsia" w:ascii="仿宋_GB2312" w:hAnsi="仿宋_GB2312" w:eastAsia="仿宋_GB2312" w:cs="仿宋_GB2312"/>
          <w:b/>
          <w:color w:val="auto"/>
          <w:szCs w:val="21"/>
          <w:highlight w:val="none"/>
        </w:rPr>
        <w:t>政府采购政策支持</w:t>
      </w:r>
    </w:p>
    <w:p>
      <w:pPr>
        <w:adjustRightInd w:val="0"/>
        <w:snapToGrid w:val="0"/>
        <w:spacing w:line="360" w:lineRule="auto"/>
        <w:ind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9.1对列入财政部、国家发展改革委发布的《节能产品政府采购清单》且属于应当“强制采购的节能产品”，按照规定实行强制采购。本项目为服务采购，不涉及该类规定</w:t>
      </w:r>
      <w:r>
        <w:rPr>
          <w:rFonts w:hint="eastAsia" w:ascii="仿宋_GB2312" w:hAnsi="仿宋_GB2312" w:eastAsia="仿宋_GB2312" w:cs="仿宋_GB2312"/>
          <w:b/>
          <w:color w:val="auto"/>
          <w:kern w:val="0"/>
          <w:szCs w:val="21"/>
          <w:highlight w:val="none"/>
        </w:rPr>
        <w:t>。</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highlight w:val="none"/>
        </w:rPr>
        <w:t>9.2对列入财政部、国家发展改革委发布的《节能产品政府采购清单》的“非强制采购节能产品”，财政部、环境保护部发布的《环境标志产品政府采购清单》的“环境标志产品”，湖南省财政厅、湖南省科学技术厅、湖南省长株潭“两型社会”试验区建设管理委员会发布的《湖南省两型产品政府采购目录》</w:t>
      </w:r>
      <w:r>
        <w:rPr>
          <w:rFonts w:hint="eastAsia" w:ascii="仿宋_GB2312" w:hAnsi="仿宋_GB2312" w:eastAsia="仿宋_GB2312" w:cs="仿宋_GB2312"/>
          <w:color w:val="auto"/>
          <w:highlight w:val="none"/>
        </w:rPr>
        <w:t>或《长沙市两型产品目录》</w:t>
      </w:r>
      <w:r>
        <w:rPr>
          <w:rFonts w:hint="eastAsia" w:ascii="仿宋_GB2312" w:hAnsi="仿宋_GB2312" w:eastAsia="仿宋_GB2312" w:cs="仿宋_GB2312"/>
          <w:color w:val="auto"/>
          <w:kern w:val="0"/>
          <w:highlight w:val="none"/>
        </w:rPr>
        <w:t>的“两型产品”以及中小企业，实行优先采购，按照省级以上财政部门有关政策规定，评审时进行价格扣除或加分。以上政策，本项目仅设计中小企业优先采购，具体的优惠率见</w:t>
      </w:r>
      <w:r>
        <w:rPr>
          <w:rFonts w:hint="eastAsia" w:ascii="仿宋_GB2312" w:hAnsi="仿宋_GB2312" w:eastAsia="仿宋_GB2312" w:cs="仿宋_GB2312"/>
          <w:b/>
          <w:color w:val="auto"/>
          <w:kern w:val="0"/>
          <w:highlight w:val="none"/>
        </w:rPr>
        <w:t>磋商文件前附表。</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9.3符合本章第9.2</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szCs w:val="21"/>
          <w:highlight w:val="none"/>
        </w:rPr>
        <w:t>规定的，应提供相关证明资料。</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9.4供应商有融资、担保需求的，具体办理流程可向</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所列金融机构和担保机构询问。</w:t>
      </w:r>
    </w:p>
    <w:p>
      <w:pPr>
        <w:adjustRightInd w:val="0"/>
        <w:snapToGrid w:val="0"/>
        <w:spacing w:line="360" w:lineRule="auto"/>
        <w:ind w:left="31680" w:hanging="902" w:hangingChars="376"/>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二、磋商文件</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10．磋商文件的组成</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10.1 磋商文件由下列文件组成：</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第一章 磋商邀请</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第二章 磋商须知</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第三章 采购需求</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第四章 政府采购合同格式条款</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第五章 响应文件组成</w:t>
      </w:r>
    </w:p>
    <w:p>
      <w:pPr>
        <w:pStyle w:val="9"/>
        <w:adjustRightInd w:val="0"/>
        <w:snapToGrid w:val="0"/>
        <w:spacing w:line="360" w:lineRule="auto"/>
        <w:ind w:firstLine="420" w:firstLineChars="200"/>
        <w:rPr>
          <w:rFonts w:hint="eastAsia" w:ascii="仿宋_GB2312" w:hAnsi="仿宋_GB2312" w:eastAsia="仿宋_GB2312" w:cs="仿宋_GB2312"/>
          <w:color w:val="auto"/>
          <w:kern w:val="0"/>
          <w:highlight w:val="none"/>
        </w:rPr>
      </w:pPr>
      <w:r>
        <w:rPr>
          <w:rFonts w:hint="eastAsia" w:ascii="仿宋_GB2312" w:hAnsi="仿宋_GB2312" w:eastAsia="仿宋_GB2312" w:cs="仿宋_GB2312"/>
          <w:color w:val="auto"/>
          <w:highlight w:val="none"/>
        </w:rPr>
        <w:t>10.2</w:t>
      </w:r>
      <w:r>
        <w:rPr>
          <w:rFonts w:hint="eastAsia" w:ascii="仿宋_GB2312" w:hAnsi="仿宋_GB2312" w:eastAsia="仿宋_GB2312" w:cs="仿宋_GB2312"/>
          <w:color w:val="auto"/>
          <w:kern w:val="0"/>
          <w:highlight w:val="none"/>
        </w:rPr>
        <w:t>磋商小组根据与供应商磋商情况可能实质性变动的内容，包括采购需求中的技术、服务要求以及合同条款，</w:t>
      </w:r>
      <w:r>
        <w:rPr>
          <w:rFonts w:hint="eastAsia" w:ascii="仿宋_GB2312" w:hAnsi="仿宋_GB2312" w:eastAsia="仿宋_GB2312" w:cs="仿宋_GB2312"/>
          <w:color w:val="auto"/>
          <w:highlight w:val="none"/>
        </w:rPr>
        <w:t>在</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中明确。</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highlight w:val="none"/>
        </w:rPr>
        <w:t>10.3</w:t>
      </w:r>
      <w:r>
        <w:rPr>
          <w:rFonts w:hint="eastAsia" w:ascii="仿宋_GB2312" w:hAnsi="仿宋_GB2312" w:eastAsia="仿宋_GB2312" w:cs="仿宋_GB2312"/>
          <w:color w:val="auto"/>
          <w:szCs w:val="21"/>
          <w:highlight w:val="none"/>
        </w:rPr>
        <w:t>供应商应仔细阅读</w:t>
      </w:r>
      <w:r>
        <w:rPr>
          <w:rFonts w:hint="eastAsia" w:ascii="仿宋_GB2312" w:hAnsi="仿宋_GB2312" w:eastAsia="仿宋_GB2312" w:cs="仿宋_GB2312"/>
          <w:bCs/>
          <w:color w:val="auto"/>
          <w:szCs w:val="21"/>
          <w:highlight w:val="none"/>
        </w:rPr>
        <w:t>磋商</w:t>
      </w:r>
      <w:r>
        <w:rPr>
          <w:rFonts w:hint="eastAsia" w:ascii="仿宋_GB2312" w:hAnsi="仿宋_GB2312" w:eastAsia="仿宋_GB2312" w:cs="仿宋_GB2312"/>
          <w:color w:val="auto"/>
          <w:szCs w:val="21"/>
          <w:highlight w:val="none"/>
        </w:rPr>
        <w:t>文件的全部内容，按照</w:t>
      </w:r>
      <w:r>
        <w:rPr>
          <w:rFonts w:hint="eastAsia" w:ascii="仿宋_GB2312" w:hAnsi="仿宋_GB2312" w:eastAsia="仿宋_GB2312" w:cs="仿宋_GB2312"/>
          <w:bCs/>
          <w:color w:val="auto"/>
          <w:szCs w:val="21"/>
          <w:highlight w:val="none"/>
        </w:rPr>
        <w:t>磋商</w:t>
      </w:r>
      <w:r>
        <w:rPr>
          <w:rFonts w:hint="eastAsia" w:ascii="仿宋_GB2312" w:hAnsi="仿宋_GB2312" w:eastAsia="仿宋_GB2312" w:cs="仿宋_GB2312"/>
          <w:color w:val="auto"/>
          <w:szCs w:val="21"/>
          <w:highlight w:val="none"/>
        </w:rPr>
        <w:t>文件要求编制响应文件。任何对</w:t>
      </w:r>
      <w:r>
        <w:rPr>
          <w:rFonts w:hint="eastAsia" w:ascii="仿宋_GB2312" w:hAnsi="仿宋_GB2312" w:eastAsia="仿宋_GB2312" w:cs="仿宋_GB2312"/>
          <w:bCs/>
          <w:color w:val="auto"/>
          <w:szCs w:val="21"/>
          <w:highlight w:val="none"/>
        </w:rPr>
        <w:t>磋商</w:t>
      </w:r>
      <w:r>
        <w:rPr>
          <w:rFonts w:hint="eastAsia" w:ascii="仿宋_GB2312" w:hAnsi="仿宋_GB2312" w:eastAsia="仿宋_GB2312" w:cs="仿宋_GB2312"/>
          <w:color w:val="auto"/>
          <w:szCs w:val="21"/>
          <w:highlight w:val="none"/>
        </w:rPr>
        <w:t>文件的忽略或误解不能作为响应文件存在缺陷或瑕疵的理由，其风险由供应商承担。</w:t>
      </w:r>
    </w:p>
    <w:p>
      <w:pPr>
        <w:adjustRightInd w:val="0"/>
        <w:snapToGrid w:val="0"/>
        <w:spacing w:line="360" w:lineRule="auto"/>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szCs w:val="21"/>
          <w:highlight w:val="none"/>
        </w:rPr>
        <w:t>11.</w:t>
      </w:r>
      <w:r>
        <w:rPr>
          <w:rFonts w:hint="eastAsia" w:ascii="仿宋_GB2312" w:hAnsi="仿宋_GB2312" w:eastAsia="仿宋_GB2312" w:cs="仿宋_GB2312"/>
          <w:b/>
          <w:color w:val="auto"/>
          <w:highlight w:val="none"/>
        </w:rPr>
        <w:t xml:space="preserve"> </w:t>
      </w:r>
      <w:r>
        <w:rPr>
          <w:rFonts w:hint="eastAsia" w:ascii="仿宋_GB2312" w:hAnsi="仿宋_GB2312" w:eastAsia="仿宋_GB2312" w:cs="仿宋_GB2312"/>
          <w:b/>
          <w:color w:val="auto"/>
          <w:szCs w:val="21"/>
          <w:highlight w:val="none"/>
        </w:rPr>
        <w:t>磋商文件的提供期限</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11.1磋商文件的提供期限自开始发出之日起不得少于五个工作日。具体提供期限见</w:t>
      </w:r>
      <w:r>
        <w:rPr>
          <w:rFonts w:hint="eastAsia" w:ascii="仿宋_GB2312" w:hAnsi="仿宋_GB2312" w:eastAsia="仿宋_GB2312" w:cs="仿宋_GB2312"/>
          <w:b/>
          <w:color w:val="auto"/>
          <w:szCs w:val="21"/>
          <w:highlight w:val="none"/>
        </w:rPr>
        <w:t>磋商文件前附表</w:t>
      </w:r>
      <w:r>
        <w:rPr>
          <w:rFonts w:hint="eastAsia" w:ascii="仿宋_GB2312" w:hAnsi="仿宋_GB2312" w:eastAsia="仿宋_GB2312" w:cs="仿宋_GB2312"/>
          <w:color w:val="auto"/>
          <w:szCs w:val="21"/>
          <w:highlight w:val="none"/>
        </w:rPr>
        <w:t>。</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11.2供应商应持</w:t>
      </w:r>
      <w:r>
        <w:rPr>
          <w:rFonts w:hint="eastAsia" w:ascii="仿宋_GB2312" w:hAnsi="仿宋_GB2312" w:eastAsia="仿宋_GB2312" w:cs="仿宋_GB2312"/>
          <w:b/>
          <w:color w:val="auto"/>
          <w:szCs w:val="21"/>
          <w:highlight w:val="none"/>
        </w:rPr>
        <w:t>磋商文件前附表</w:t>
      </w:r>
      <w:r>
        <w:rPr>
          <w:rFonts w:hint="eastAsia" w:ascii="仿宋_GB2312" w:hAnsi="仿宋_GB2312" w:eastAsia="仿宋_GB2312" w:cs="仿宋_GB2312"/>
          <w:color w:val="auto"/>
          <w:szCs w:val="21"/>
          <w:highlight w:val="none"/>
        </w:rPr>
        <w:t>规定的资料领取磋商文件。</w:t>
      </w:r>
    </w:p>
    <w:p>
      <w:pPr>
        <w:pStyle w:val="9"/>
        <w:adjustRightInd w:val="0"/>
        <w:snapToGrid w:val="0"/>
        <w:spacing w:line="360" w:lineRule="auto"/>
        <w:rPr>
          <w:rFonts w:hint="eastAsia" w:ascii="仿宋_GB2312" w:hAnsi="仿宋_GB2312" w:eastAsia="仿宋_GB2312" w:cs="仿宋_GB2312"/>
          <w:color w:val="auto"/>
          <w:highlight w:val="none"/>
        </w:rPr>
      </w:pPr>
      <w:r>
        <w:rPr>
          <w:rFonts w:hint="eastAsia" w:ascii="仿宋_GB2312" w:hAnsi="仿宋_GB2312" w:eastAsia="仿宋_GB2312" w:cs="仿宋_GB2312"/>
          <w:b/>
          <w:color w:val="auto"/>
          <w:highlight w:val="none"/>
        </w:rPr>
        <w:t>12.</w:t>
      </w:r>
      <w:r>
        <w:rPr>
          <w:rFonts w:hint="eastAsia" w:ascii="仿宋_GB2312" w:hAnsi="仿宋_GB2312" w:eastAsia="仿宋_GB2312" w:cs="仿宋_GB2312"/>
          <w:b/>
          <w:color w:val="auto"/>
          <w:kern w:val="0"/>
          <w:highlight w:val="none"/>
        </w:rPr>
        <w:t>提交首次响应文件</w:t>
      </w:r>
      <w:r>
        <w:rPr>
          <w:rFonts w:hint="eastAsia" w:ascii="仿宋_GB2312" w:hAnsi="仿宋_GB2312" w:eastAsia="仿宋_GB2312" w:cs="仿宋_GB2312"/>
          <w:b/>
          <w:color w:val="auto"/>
          <w:highlight w:val="none"/>
        </w:rPr>
        <w:t>的</w:t>
      </w:r>
      <w:r>
        <w:rPr>
          <w:rFonts w:hint="eastAsia" w:ascii="仿宋_GB2312" w:hAnsi="仿宋_GB2312" w:eastAsia="仿宋_GB2312" w:cs="仿宋_GB2312"/>
          <w:b/>
          <w:color w:val="auto"/>
          <w:kern w:val="0"/>
          <w:highlight w:val="none"/>
        </w:rPr>
        <w:t>截止</w:t>
      </w:r>
      <w:r>
        <w:rPr>
          <w:rFonts w:hint="eastAsia" w:ascii="仿宋_GB2312" w:hAnsi="仿宋_GB2312" w:eastAsia="仿宋_GB2312" w:cs="仿宋_GB2312"/>
          <w:b/>
          <w:color w:val="auto"/>
          <w:highlight w:val="none"/>
        </w:rPr>
        <w:t>时间</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12.1</w:t>
      </w:r>
      <w:r>
        <w:rPr>
          <w:rFonts w:hint="eastAsia" w:ascii="仿宋_GB2312" w:hAnsi="仿宋_GB2312" w:eastAsia="仿宋_GB2312" w:cs="仿宋_GB2312"/>
          <w:color w:val="auto"/>
          <w:kern w:val="0"/>
          <w:highlight w:val="none"/>
        </w:rPr>
        <w:t>供应商提交首次响应文件截止</w:t>
      </w:r>
      <w:r>
        <w:rPr>
          <w:rFonts w:hint="eastAsia" w:ascii="仿宋_GB2312" w:hAnsi="仿宋_GB2312" w:eastAsia="仿宋_GB2312" w:cs="仿宋_GB2312"/>
          <w:color w:val="auto"/>
          <w:highlight w:val="none"/>
        </w:rPr>
        <w:t>时间见</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13.磋商文件的澄清</w:t>
      </w:r>
      <w:r>
        <w:rPr>
          <w:rFonts w:hint="eastAsia" w:ascii="仿宋_GB2312" w:hAnsi="仿宋_GB2312" w:eastAsia="仿宋_GB2312" w:cs="仿宋_GB2312"/>
          <w:b/>
          <w:color w:val="auto"/>
          <w:kern w:val="0"/>
          <w:szCs w:val="21"/>
          <w:highlight w:val="none"/>
          <w:lang w:val="zh-CN"/>
        </w:rPr>
        <w:t>或者</w:t>
      </w:r>
      <w:r>
        <w:rPr>
          <w:rFonts w:hint="eastAsia" w:ascii="仿宋_GB2312" w:hAnsi="仿宋_GB2312" w:eastAsia="仿宋_GB2312" w:cs="仿宋_GB2312"/>
          <w:b/>
          <w:bCs/>
          <w:color w:val="auto"/>
          <w:szCs w:val="21"/>
          <w:highlight w:val="none"/>
        </w:rPr>
        <w:t>修改</w:t>
      </w:r>
    </w:p>
    <w:p>
      <w:pPr>
        <w:adjustRightInd w:val="0"/>
        <w:snapToGrid w:val="0"/>
        <w:spacing w:line="360" w:lineRule="auto"/>
        <w:ind w:right="-105" w:rightChars="-50"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13.1在</w:t>
      </w:r>
      <w:r>
        <w:rPr>
          <w:rFonts w:hint="eastAsia" w:ascii="仿宋_GB2312" w:hAnsi="仿宋_GB2312" w:eastAsia="仿宋_GB2312" w:cs="仿宋_GB2312"/>
          <w:color w:val="auto"/>
          <w:kern w:val="0"/>
          <w:szCs w:val="21"/>
          <w:highlight w:val="none"/>
        </w:rPr>
        <w:t>提交首次响应文件截止之日前，采购人、采购代理机构可以对已发出的磋商文件进行必要的澄清或者修改。</w:t>
      </w:r>
    </w:p>
    <w:p>
      <w:pPr>
        <w:adjustRightInd w:val="0"/>
        <w:snapToGrid w:val="0"/>
        <w:spacing w:line="360" w:lineRule="auto"/>
        <w:ind w:right="-105" w:rightChars="-50"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13.2</w:t>
      </w:r>
      <w:r>
        <w:rPr>
          <w:rFonts w:hint="eastAsia" w:ascii="仿宋_GB2312" w:hAnsi="仿宋_GB2312" w:eastAsia="仿宋_GB2312" w:cs="仿宋_GB2312"/>
          <w:color w:val="auto"/>
          <w:kern w:val="0"/>
          <w:szCs w:val="21"/>
          <w:highlight w:val="none"/>
        </w:rPr>
        <w:t>澄清或者修改的内容可能影响响应文件编制的，采购人、采购代理机构应当在提交首次响应文件截止之日3个工作日前，以书面形式通知所有接收磋商文件的供应商，不足3个工作日的，顺延供应商提交首次响应文件截止时间。</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13.2</w:t>
      </w:r>
      <w:r>
        <w:rPr>
          <w:rFonts w:hint="eastAsia" w:ascii="仿宋_GB2312" w:hAnsi="仿宋_GB2312" w:eastAsia="仿宋_GB2312" w:cs="仿宋_GB2312"/>
          <w:color w:val="auto"/>
          <w:kern w:val="0"/>
          <w:highlight w:val="none"/>
        </w:rPr>
        <w:t>提交首次响应文件截止时间前对磋商文件澄清或者修改内容，为磋商文件的组成部分。</w:t>
      </w:r>
    </w:p>
    <w:p>
      <w:pPr>
        <w:adjustRightInd w:val="0"/>
        <w:snapToGrid w:val="0"/>
        <w:spacing w:line="360" w:lineRule="auto"/>
        <w:ind w:left="31680" w:hanging="902" w:hangingChars="376"/>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三、响应文件</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14.一般要求</w:t>
      </w:r>
    </w:p>
    <w:p>
      <w:pPr>
        <w:adjustRightInd w:val="0"/>
        <w:snapToGrid w:val="0"/>
        <w:spacing w:line="360" w:lineRule="auto"/>
        <w:ind w:firstLine="420" w:firstLineChars="200"/>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14.1 供应商应仔细阅读磋商文件的所有内容，按磋商文件的要求编制响应文件，并保证所提供的全部资料的真实性，以使其响应文件对磋商文件做出实质性的响应。</w:t>
      </w:r>
    </w:p>
    <w:p>
      <w:pPr>
        <w:adjustRightInd w:val="0"/>
        <w:snapToGrid w:val="0"/>
        <w:spacing w:line="360" w:lineRule="auto"/>
        <w:ind w:firstLine="420" w:firstLineChars="200"/>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 xml:space="preserve">14.2 </w:t>
      </w:r>
      <w:r>
        <w:rPr>
          <w:rFonts w:hint="eastAsia" w:ascii="仿宋_GB2312" w:hAnsi="仿宋_GB2312" w:eastAsia="仿宋_GB2312" w:cs="仿宋_GB2312"/>
          <w:color w:val="auto"/>
          <w:szCs w:val="21"/>
          <w:highlight w:val="none"/>
        </w:rPr>
        <w:t>供应商提交的响应文件及供应商与采购人或采购代理机构、磋商小组就有关磋商的所有来往函电均使用中文。供应商可以提交其它语言的资料，但应附中文注释，在有差异时以中文为准。</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bCs/>
          <w:color w:val="auto"/>
          <w:highlight w:val="none"/>
        </w:rPr>
        <w:t xml:space="preserve">14.3 </w:t>
      </w:r>
      <w:r>
        <w:rPr>
          <w:rFonts w:hint="eastAsia" w:ascii="仿宋_GB2312" w:hAnsi="仿宋_GB2312" w:eastAsia="仿宋_GB2312" w:cs="仿宋_GB2312"/>
          <w:color w:val="auto"/>
          <w:highlight w:val="none"/>
        </w:rPr>
        <w:t>计量单位应使用我国法定计量单位，未列明时应默认为我国法定计量单位。</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14.4 响应文件应采用书面形式，电报、传真、电子邮件形式的响应文件概不接受。</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14.5 供应商应按磋商文件中提供的响应文件格式填写。</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15.</w:t>
      </w:r>
      <w:r>
        <w:rPr>
          <w:rFonts w:hint="eastAsia" w:ascii="仿宋_GB2312" w:hAnsi="仿宋_GB2312" w:eastAsia="仿宋_GB2312" w:cs="仿宋_GB2312"/>
          <w:b/>
          <w:color w:val="auto"/>
          <w:szCs w:val="21"/>
          <w:highlight w:val="none"/>
        </w:rPr>
        <w:t>响应文件</w:t>
      </w:r>
      <w:r>
        <w:rPr>
          <w:rFonts w:hint="eastAsia" w:ascii="仿宋_GB2312" w:hAnsi="仿宋_GB2312" w:eastAsia="仿宋_GB2312" w:cs="仿宋_GB2312"/>
          <w:b/>
          <w:bCs/>
          <w:color w:val="auto"/>
          <w:szCs w:val="21"/>
          <w:highlight w:val="none"/>
        </w:rPr>
        <w:t>的组成</w:t>
      </w:r>
    </w:p>
    <w:p>
      <w:pPr>
        <w:adjustRightInd w:val="0"/>
        <w:snapToGrid w:val="0"/>
        <w:spacing w:line="360" w:lineRule="auto"/>
        <w:ind w:firstLine="420" w:firstLineChars="200"/>
        <w:jc w:val="left"/>
        <w:outlineLvl w:val="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15.1响应文件包括下列内容：</w:t>
      </w:r>
    </w:p>
    <w:p>
      <w:pPr>
        <w:pStyle w:val="9"/>
        <w:adjustRightInd w:val="0"/>
        <w:snapToGrid w:val="0"/>
        <w:spacing w:line="360" w:lineRule="auto"/>
        <w:ind w:firstLine="422" w:firstLineChars="200"/>
        <w:rPr>
          <w:rFonts w:hint="eastAsia" w:ascii="仿宋_GB2312" w:hAnsi="仿宋_GB2312" w:eastAsia="仿宋_GB2312" w:cs="仿宋_GB2312"/>
          <w:b/>
          <w:bCs/>
          <w:color w:val="auto"/>
          <w:highlight w:val="none"/>
        </w:rPr>
      </w:pPr>
      <w:r>
        <w:rPr>
          <w:rFonts w:hint="eastAsia" w:ascii="仿宋_GB2312" w:hAnsi="仿宋_GB2312" w:eastAsia="仿宋_GB2312" w:cs="仿宋_GB2312"/>
          <w:b/>
          <w:bCs/>
          <w:color w:val="auto"/>
          <w:highlight w:val="none"/>
        </w:rPr>
        <w:t>商务文件</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（1）磋商响应声明</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（2）保证金</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（3）供应商的资格证明文件</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（4）技术/商务响应与偏离表</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（5）提供享受政府采购政策的证明资料</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（6）报价一览表及分项价格表</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（7）供应商认为需提供的其它资料</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（8）最后报价</w:t>
      </w:r>
    </w:p>
    <w:p>
      <w:pPr>
        <w:pStyle w:val="9"/>
        <w:adjustRightInd w:val="0"/>
        <w:snapToGrid w:val="0"/>
        <w:spacing w:line="360" w:lineRule="auto"/>
        <w:ind w:firstLine="422"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highlight w:val="none"/>
        </w:rPr>
        <w:t>技术文件</w:t>
      </w:r>
    </w:p>
    <w:p>
      <w:pPr>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15.2在磋商过程中，</w:t>
      </w:r>
      <w:r>
        <w:rPr>
          <w:rFonts w:hint="eastAsia" w:ascii="仿宋_GB2312" w:hAnsi="仿宋_GB2312" w:eastAsia="仿宋_GB2312" w:cs="仿宋_GB2312"/>
          <w:color w:val="auto"/>
          <w:szCs w:val="21"/>
          <w:highlight w:val="none"/>
        </w:rPr>
        <w:t>供应商</w:t>
      </w:r>
      <w:r>
        <w:rPr>
          <w:rFonts w:hint="eastAsia" w:ascii="仿宋_GB2312" w:hAnsi="仿宋_GB2312" w:eastAsia="仿宋_GB2312" w:cs="仿宋_GB2312"/>
          <w:color w:val="auto"/>
          <w:highlight w:val="none"/>
        </w:rPr>
        <w:t>根据</w:t>
      </w:r>
      <w:r>
        <w:rPr>
          <w:rFonts w:hint="eastAsia" w:ascii="仿宋_GB2312" w:hAnsi="仿宋_GB2312" w:eastAsia="仿宋_GB2312" w:cs="仿宋_GB2312"/>
          <w:color w:val="auto"/>
          <w:kern w:val="0"/>
          <w:szCs w:val="21"/>
          <w:highlight w:val="none"/>
        </w:rPr>
        <w:t>磋商小组</w:t>
      </w:r>
      <w:r>
        <w:rPr>
          <w:rFonts w:hint="eastAsia" w:ascii="仿宋_GB2312" w:hAnsi="仿宋_GB2312" w:eastAsia="仿宋_GB2312" w:cs="仿宋_GB2312"/>
          <w:bCs/>
          <w:color w:val="auto"/>
          <w:szCs w:val="21"/>
          <w:highlight w:val="none"/>
        </w:rPr>
        <w:t>书面形式要求</w:t>
      </w:r>
      <w:r>
        <w:rPr>
          <w:rFonts w:hint="eastAsia" w:ascii="仿宋_GB2312" w:hAnsi="仿宋_GB2312" w:eastAsia="仿宋_GB2312" w:cs="仿宋_GB2312"/>
          <w:color w:val="auto"/>
          <w:kern w:val="0"/>
          <w:szCs w:val="21"/>
          <w:highlight w:val="none"/>
        </w:rPr>
        <w:t>提交的</w:t>
      </w:r>
      <w:r>
        <w:rPr>
          <w:rFonts w:hint="eastAsia" w:ascii="仿宋_GB2312" w:hAnsi="仿宋_GB2312" w:eastAsia="仿宋_GB2312" w:cs="仿宋_GB2312"/>
          <w:color w:val="auto"/>
          <w:highlight w:val="none"/>
        </w:rPr>
        <w:t>最后报价(或者</w:t>
      </w:r>
      <w:r>
        <w:rPr>
          <w:rFonts w:hint="eastAsia" w:ascii="仿宋_GB2312" w:hAnsi="仿宋_GB2312" w:eastAsia="仿宋_GB2312" w:cs="仿宋_GB2312"/>
          <w:bCs/>
          <w:color w:val="auto"/>
          <w:szCs w:val="21"/>
          <w:highlight w:val="none"/>
        </w:rPr>
        <w:t>重</w:t>
      </w:r>
      <w:r>
        <w:rPr>
          <w:rFonts w:hint="eastAsia" w:ascii="仿宋_GB2312" w:hAnsi="仿宋_GB2312" w:eastAsia="仿宋_GB2312" w:cs="仿宋_GB2312"/>
          <w:color w:val="auto"/>
          <w:kern w:val="0"/>
          <w:szCs w:val="21"/>
          <w:highlight w:val="none"/>
        </w:rPr>
        <w:t>新提交的响应文件和</w:t>
      </w:r>
      <w:r>
        <w:rPr>
          <w:rFonts w:hint="eastAsia" w:ascii="仿宋_GB2312" w:hAnsi="仿宋_GB2312" w:eastAsia="仿宋_GB2312" w:cs="仿宋_GB2312"/>
          <w:color w:val="auto"/>
          <w:highlight w:val="none"/>
        </w:rPr>
        <w:t>最后报价)是</w:t>
      </w:r>
      <w:r>
        <w:rPr>
          <w:rFonts w:hint="eastAsia" w:ascii="仿宋_GB2312" w:hAnsi="仿宋_GB2312" w:eastAsia="仿宋_GB2312" w:cs="仿宋_GB2312"/>
          <w:color w:val="auto"/>
          <w:szCs w:val="21"/>
          <w:highlight w:val="none"/>
        </w:rPr>
        <w:t>响应文件</w:t>
      </w:r>
      <w:r>
        <w:rPr>
          <w:rFonts w:hint="eastAsia" w:ascii="仿宋_GB2312" w:hAnsi="仿宋_GB2312" w:eastAsia="仿宋_GB2312" w:cs="仿宋_GB2312"/>
          <w:color w:val="auto"/>
          <w:highlight w:val="none"/>
        </w:rPr>
        <w:t>的有效组成部分。</w:t>
      </w:r>
    </w:p>
    <w:p>
      <w:pPr>
        <w:adjustRightInd w:val="0"/>
        <w:snapToGrid w:val="0"/>
        <w:spacing w:line="360" w:lineRule="auto"/>
        <w:ind w:firstLine="420" w:firstLineChars="200"/>
        <w:rPr>
          <w:rFonts w:hint="eastAsia" w:ascii="仿宋_GB2312" w:hAnsi="仿宋_GB2312" w:eastAsia="仿宋_GB2312" w:cs="仿宋_GB2312"/>
          <w:b/>
          <w:color w:val="auto"/>
          <w:highlight w:val="none"/>
        </w:rPr>
      </w:pPr>
      <w:r>
        <w:rPr>
          <w:rFonts w:hint="eastAsia" w:ascii="仿宋_GB2312" w:hAnsi="仿宋_GB2312" w:eastAsia="仿宋_GB2312" w:cs="仿宋_GB2312"/>
          <w:color w:val="auto"/>
          <w:highlight w:val="none"/>
        </w:rPr>
        <w:t>15.3</w:t>
      </w:r>
      <w:r>
        <w:rPr>
          <w:rFonts w:hint="eastAsia" w:ascii="仿宋_GB2312" w:hAnsi="仿宋_GB2312" w:eastAsia="仿宋_GB2312" w:cs="仿宋_GB2312"/>
          <w:color w:val="auto"/>
          <w:kern w:val="0"/>
          <w:szCs w:val="21"/>
          <w:highlight w:val="none"/>
        </w:rPr>
        <w:t>磋商文件规定可能发生实质性变动的，供应商应当在</w:t>
      </w:r>
      <w:r>
        <w:rPr>
          <w:rFonts w:hint="eastAsia" w:ascii="仿宋_GB2312" w:hAnsi="仿宋_GB2312" w:eastAsia="仿宋_GB2312" w:cs="仿宋_GB2312"/>
          <w:color w:val="auto"/>
          <w:highlight w:val="none"/>
        </w:rPr>
        <w:t>《技术/商务响应与偏离表》中对应内容注明。</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highlight w:val="none"/>
        </w:rPr>
        <w:t>15.4</w:t>
      </w:r>
      <w:r>
        <w:rPr>
          <w:rFonts w:hint="eastAsia" w:ascii="仿宋_GB2312" w:hAnsi="仿宋_GB2312" w:eastAsia="仿宋_GB2312" w:cs="仿宋_GB2312"/>
          <w:color w:val="auto"/>
          <w:szCs w:val="21"/>
          <w:highlight w:val="none"/>
        </w:rPr>
        <w:t>根据《政府采购法》第四十二条的规定，供应商无论成交与否，其响应文件不予退还。</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16.报价</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16.1供应商应当根据磋商文件要求和范围，以</w:t>
      </w:r>
      <w:r>
        <w:rPr>
          <w:rFonts w:hint="eastAsia" w:ascii="仿宋_GB2312" w:hAnsi="仿宋_GB2312" w:eastAsia="仿宋_GB2312" w:cs="仿宋_GB2312"/>
          <w:bCs/>
          <w:color w:val="auto"/>
          <w:szCs w:val="21"/>
          <w:highlight w:val="none"/>
        </w:rPr>
        <w:t>人民币</w:t>
      </w:r>
      <w:r>
        <w:rPr>
          <w:rFonts w:hint="eastAsia" w:ascii="仿宋_GB2312" w:hAnsi="仿宋_GB2312" w:eastAsia="仿宋_GB2312" w:cs="仿宋_GB2312"/>
          <w:color w:val="auto"/>
          <w:szCs w:val="21"/>
          <w:highlight w:val="none"/>
        </w:rPr>
        <w:t>报价，以元为单位，保留小数点后两位。</w:t>
      </w:r>
    </w:p>
    <w:p>
      <w:pPr>
        <w:pStyle w:val="43"/>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16.2供应商应按第五章 响应文件组成格式填写。</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16.3响应文件中标明的价格在合同执行过程中是固定不变的，不得以任何理由予以变更。以可变动价格提交的报价将被认为是非实质响应而被拒绝。</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16.4</w:t>
      </w:r>
      <w:r>
        <w:rPr>
          <w:rFonts w:hint="eastAsia" w:ascii="仿宋_GB2312" w:hAnsi="仿宋_GB2312" w:eastAsia="仿宋_GB2312" w:cs="仿宋_GB2312"/>
          <w:color w:val="auto"/>
          <w:kern w:val="0"/>
          <w:highlight w:val="none"/>
          <w:lang w:val="zh-CN"/>
        </w:rPr>
        <w:t>供应商</w:t>
      </w:r>
      <w:r>
        <w:rPr>
          <w:rFonts w:hint="eastAsia" w:ascii="仿宋_GB2312" w:hAnsi="仿宋_GB2312" w:eastAsia="仿宋_GB2312" w:cs="仿宋_GB2312"/>
          <w:color w:val="auto"/>
          <w:highlight w:val="none"/>
        </w:rPr>
        <w:t>的报价不得超过采购项目预算，采购项目预算或其计算方法见</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w:t>
      </w:r>
    </w:p>
    <w:p>
      <w:pPr>
        <w:pStyle w:val="9"/>
        <w:adjustRightInd w:val="0"/>
        <w:snapToGrid w:val="0"/>
        <w:spacing w:line="360" w:lineRule="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17.供应商符合磋商文件规定的证明文件</w:t>
      </w:r>
    </w:p>
    <w:p>
      <w:pPr>
        <w:adjustRightInd w:val="0"/>
        <w:snapToGrid w:val="0"/>
        <w:spacing w:line="360" w:lineRule="auto"/>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17.1供应商应提交满足本章第3.1款规定的资格条件要求的证明文件,该证明文件作为响应文件的一部分。</w:t>
      </w:r>
    </w:p>
    <w:p>
      <w:pPr>
        <w:adjustRightInd w:val="0"/>
        <w:snapToGrid w:val="0"/>
        <w:spacing w:line="360" w:lineRule="auto"/>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17.2如果供应商为联合体，则应提交联合体各方资格证明文件、联合体协议。否则，在评审时将其视为无效响应。</w:t>
      </w:r>
    </w:p>
    <w:p>
      <w:pPr>
        <w:adjustRightInd w:val="0"/>
        <w:snapToGrid w:val="0"/>
        <w:spacing w:beforeLines="50" w:line="360" w:lineRule="auto"/>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szCs w:val="21"/>
          <w:highlight w:val="none"/>
        </w:rPr>
        <w:t>18．样品提供</w:t>
      </w:r>
    </w:p>
    <w:p>
      <w:pPr>
        <w:adjustRightInd w:val="0"/>
        <w:snapToGrid w:val="0"/>
        <w:spacing w:beforeLines="50"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18.1 本项目为服务采购，不涉及样品提交。</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19.</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b/>
          <w:bCs/>
          <w:color w:val="auto"/>
          <w:szCs w:val="21"/>
          <w:highlight w:val="none"/>
        </w:rPr>
        <w:t>磋商保证金</w:t>
      </w:r>
    </w:p>
    <w:p>
      <w:pPr>
        <w:pStyle w:val="9"/>
        <w:adjustRightInd w:val="0"/>
        <w:snapToGrid w:val="0"/>
        <w:spacing w:line="360" w:lineRule="auto"/>
        <w:ind w:firstLine="420" w:firstLineChars="200"/>
        <w:rPr>
          <w:rFonts w:hint="eastAsia" w:ascii="仿宋_GB2312" w:hAnsi="仿宋_GB2312" w:eastAsia="仿宋_GB2312" w:cs="仿宋_GB2312"/>
          <w:bCs/>
          <w:color w:val="auto"/>
          <w:highlight w:val="none"/>
        </w:rPr>
      </w:pPr>
      <w:r>
        <w:rPr>
          <w:rFonts w:hint="eastAsia" w:ascii="仿宋_GB2312" w:hAnsi="仿宋_GB2312" w:eastAsia="仿宋_GB2312" w:cs="仿宋_GB2312"/>
          <w:color w:val="auto"/>
          <w:highlight w:val="none"/>
        </w:rPr>
        <w:t>19.1</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规定交纳磋商</w:t>
      </w:r>
      <w:r>
        <w:rPr>
          <w:rFonts w:hint="eastAsia" w:ascii="仿宋_GB2312" w:hAnsi="仿宋_GB2312" w:eastAsia="仿宋_GB2312" w:cs="仿宋_GB2312"/>
          <w:bCs/>
          <w:color w:val="auto"/>
          <w:highlight w:val="none"/>
        </w:rPr>
        <w:t>保证金的</w:t>
      </w:r>
      <w:r>
        <w:rPr>
          <w:rFonts w:hint="eastAsia" w:ascii="仿宋_GB2312" w:hAnsi="仿宋_GB2312" w:eastAsia="仿宋_GB2312" w:cs="仿宋_GB2312"/>
          <w:color w:val="auto"/>
          <w:highlight w:val="none"/>
        </w:rPr>
        <w:t>，应按</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规定的磋商</w:t>
      </w:r>
      <w:r>
        <w:rPr>
          <w:rFonts w:hint="eastAsia" w:ascii="仿宋_GB2312" w:hAnsi="仿宋_GB2312" w:eastAsia="仿宋_GB2312" w:cs="仿宋_GB2312"/>
          <w:bCs/>
          <w:color w:val="auto"/>
          <w:highlight w:val="none"/>
        </w:rPr>
        <w:t>保证金形式交纳，不得以现金方式交纳</w:t>
      </w:r>
      <w:r>
        <w:rPr>
          <w:rFonts w:hint="eastAsia" w:ascii="仿宋_GB2312" w:hAnsi="仿宋_GB2312" w:eastAsia="仿宋_GB2312" w:cs="仿宋_GB2312"/>
          <w:color w:val="auto"/>
          <w:highlight w:val="none"/>
        </w:rPr>
        <w:t>，在</w:t>
      </w:r>
      <w:r>
        <w:rPr>
          <w:rFonts w:hint="eastAsia" w:ascii="仿宋_GB2312" w:hAnsi="仿宋_GB2312" w:eastAsia="仿宋_GB2312" w:cs="仿宋_GB2312"/>
          <w:color w:val="auto"/>
          <w:kern w:val="0"/>
          <w:highlight w:val="none"/>
        </w:rPr>
        <w:t>提交首次响应文件截止时间</w:t>
      </w:r>
      <w:r>
        <w:rPr>
          <w:rFonts w:hint="eastAsia" w:ascii="仿宋_GB2312" w:hAnsi="仿宋_GB2312" w:eastAsia="仿宋_GB2312" w:cs="仿宋_GB2312"/>
          <w:color w:val="auto"/>
          <w:highlight w:val="none"/>
        </w:rPr>
        <w:t>前，</w:t>
      </w:r>
      <w:r>
        <w:rPr>
          <w:rFonts w:hint="eastAsia" w:ascii="仿宋_GB2312" w:hAnsi="仿宋_GB2312" w:eastAsia="仿宋_GB2312" w:cs="仿宋_GB2312"/>
          <w:bCs/>
          <w:color w:val="auto"/>
          <w:highlight w:val="none"/>
        </w:rPr>
        <w:t>向采购代理机构交纳不超过</w:t>
      </w:r>
      <w:r>
        <w:rPr>
          <w:rFonts w:hint="eastAsia" w:ascii="仿宋_GB2312" w:hAnsi="仿宋_GB2312" w:eastAsia="仿宋_GB2312" w:cs="仿宋_GB2312"/>
          <w:color w:val="auto"/>
          <w:kern w:val="0"/>
          <w:highlight w:val="none"/>
          <w:lang w:val="zh-CN"/>
        </w:rPr>
        <w:t>采购项目预算2﹪</w:t>
      </w:r>
      <w:r>
        <w:rPr>
          <w:rFonts w:hint="eastAsia" w:ascii="仿宋_GB2312" w:hAnsi="仿宋_GB2312" w:eastAsia="仿宋_GB2312" w:cs="仿宋_GB2312"/>
          <w:bCs/>
          <w:color w:val="auto"/>
          <w:highlight w:val="none"/>
        </w:rPr>
        <w:t>的磋商保证金(数额采用四舍五入，计算至元)</w:t>
      </w:r>
      <w:r>
        <w:rPr>
          <w:rFonts w:hint="eastAsia" w:ascii="仿宋_GB2312" w:hAnsi="仿宋_GB2312" w:eastAsia="仿宋_GB2312" w:cs="仿宋_GB2312"/>
          <w:color w:val="auto"/>
          <w:highlight w:val="none"/>
        </w:rPr>
        <w:t>。磋商</w:t>
      </w:r>
      <w:r>
        <w:rPr>
          <w:rFonts w:hint="eastAsia" w:ascii="仿宋_GB2312" w:hAnsi="仿宋_GB2312" w:eastAsia="仿宋_GB2312" w:cs="仿宋_GB2312"/>
          <w:bCs/>
          <w:color w:val="auto"/>
          <w:highlight w:val="none"/>
        </w:rPr>
        <w:t>保证金有效期应当与</w:t>
      </w:r>
      <w:r>
        <w:rPr>
          <w:rFonts w:hint="eastAsia" w:ascii="仿宋_GB2312" w:hAnsi="仿宋_GB2312" w:eastAsia="仿宋_GB2312" w:cs="仿宋_GB2312"/>
          <w:color w:val="auto"/>
          <w:highlight w:val="none"/>
        </w:rPr>
        <w:t>本章第20.1</w:t>
      </w:r>
      <w:r>
        <w:rPr>
          <w:rFonts w:hint="eastAsia" w:ascii="仿宋_GB2312" w:hAnsi="仿宋_GB2312" w:eastAsia="仿宋_GB2312" w:cs="仿宋_GB2312"/>
          <w:color w:val="auto"/>
          <w:kern w:val="0"/>
          <w:highlight w:val="none"/>
          <w:lang w:val="zh-CN"/>
        </w:rPr>
        <w:t>款</w:t>
      </w:r>
      <w:r>
        <w:rPr>
          <w:rFonts w:hint="eastAsia" w:ascii="仿宋_GB2312" w:hAnsi="仿宋_GB2312" w:eastAsia="仿宋_GB2312" w:cs="仿宋_GB2312"/>
          <w:color w:val="auto"/>
          <w:highlight w:val="none"/>
        </w:rPr>
        <w:t>规定的</w:t>
      </w:r>
      <w:r>
        <w:rPr>
          <w:rFonts w:hint="eastAsia" w:ascii="仿宋_GB2312" w:hAnsi="仿宋_GB2312" w:eastAsia="仿宋_GB2312" w:cs="仿宋_GB2312"/>
          <w:bCs/>
          <w:color w:val="auto"/>
          <w:highlight w:val="none"/>
        </w:rPr>
        <w:t>响应文件有效期一致。</w:t>
      </w:r>
    </w:p>
    <w:p>
      <w:pPr>
        <w:adjustRightInd w:val="0"/>
        <w:snapToGrid w:val="0"/>
        <w:spacing w:line="360" w:lineRule="auto"/>
        <w:ind w:firstLine="420" w:firstLineChars="200"/>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color w:val="auto"/>
          <w:szCs w:val="21"/>
          <w:highlight w:val="none"/>
        </w:rPr>
        <w:t>19.2允许联合体投标的，</w:t>
      </w:r>
      <w:r>
        <w:rPr>
          <w:rFonts w:hint="eastAsia" w:ascii="仿宋_GB2312" w:hAnsi="仿宋_GB2312" w:eastAsia="仿宋_GB2312" w:cs="仿宋_GB2312"/>
          <w:color w:val="auto"/>
          <w:kern w:val="0"/>
          <w:szCs w:val="21"/>
          <w:highlight w:val="none"/>
          <w:lang w:val="zh-CN"/>
        </w:rPr>
        <w:t>供应商为联合体的，可以由联合体中的一方或者共同交纳磋商保证金，其交纳的磋商保证金，对联合体各方均具有约束力。</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19.3供应商未按照磋商文件要求提交磋商保证金的，响应无效。</w:t>
      </w:r>
    </w:p>
    <w:p>
      <w:pPr>
        <w:pStyle w:val="9"/>
        <w:tabs>
          <w:tab w:val="left" w:pos="6300"/>
        </w:tabs>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19.4采购代理机构在成交通知书发出后5个工作日内退还未成交供应商的磋商保证金；在采购合同签定后5个工作日内退还成交供应商的磋商保证金，但因供应商自身原因导致无法及时退还的除外。</w:t>
      </w:r>
    </w:p>
    <w:p>
      <w:pPr>
        <w:pStyle w:val="9"/>
        <w:adjustRightInd w:val="0"/>
        <w:snapToGrid w:val="0"/>
        <w:spacing w:line="360" w:lineRule="auto"/>
        <w:ind w:firstLine="420" w:firstLineChars="200"/>
        <w:rPr>
          <w:rFonts w:hint="eastAsia" w:ascii="仿宋_GB2312" w:hAnsi="仿宋_GB2312" w:eastAsia="仿宋_GB2312" w:cs="仿宋_GB2312"/>
          <w:color w:val="auto"/>
          <w:kern w:val="0"/>
          <w:highlight w:val="none"/>
        </w:rPr>
      </w:pPr>
      <w:r>
        <w:rPr>
          <w:rFonts w:hint="eastAsia" w:ascii="仿宋_GB2312" w:hAnsi="仿宋_GB2312" w:eastAsia="仿宋_GB2312" w:cs="仿宋_GB2312"/>
          <w:color w:val="auto"/>
          <w:highlight w:val="none"/>
        </w:rPr>
        <w:t xml:space="preserve">19.5 </w:t>
      </w:r>
      <w:r>
        <w:rPr>
          <w:rFonts w:hint="eastAsia" w:ascii="仿宋_GB2312" w:hAnsi="仿宋_GB2312" w:eastAsia="仿宋_GB2312" w:cs="仿宋_GB2312"/>
          <w:color w:val="auto"/>
          <w:kern w:val="0"/>
          <w:highlight w:val="none"/>
        </w:rPr>
        <w:t>有下列情形之一的，磋商保证金不予退还，并上缴本级财政国库：</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（1）供应商在提交首次响应文件截止时间后撤回响应文件的；</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highlight w:val="none"/>
        </w:rPr>
      </w:pPr>
      <w:r>
        <w:rPr>
          <w:rFonts w:hint="eastAsia" w:ascii="仿宋_GB2312" w:hAnsi="仿宋_GB2312" w:eastAsia="仿宋_GB2312" w:cs="仿宋_GB2312"/>
          <w:color w:val="auto"/>
          <w:kern w:val="0"/>
          <w:highlight w:val="none"/>
        </w:rPr>
        <w:t>（2）供应商在响应文件中提供虚假资料的；</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highlight w:val="none"/>
        </w:rPr>
        <w:t>（3）</w:t>
      </w:r>
      <w:r>
        <w:rPr>
          <w:rFonts w:hint="eastAsia" w:ascii="仿宋_GB2312" w:hAnsi="仿宋_GB2312" w:eastAsia="仿宋_GB2312" w:cs="仿宋_GB2312"/>
          <w:color w:val="auto"/>
          <w:highlight w:val="none"/>
        </w:rPr>
        <w:t>确定成交结果后，无正当理由放弃成交资格的；</w:t>
      </w:r>
    </w:p>
    <w:p>
      <w:pPr>
        <w:widowControl/>
        <w:adjustRightInd w:val="0"/>
        <w:snapToGrid w:val="0"/>
        <w:spacing w:line="360" w:lineRule="auto"/>
        <w:ind w:firstLine="525" w:firstLineChars="25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(4) 除因不可抗力或磋商文件认可的情形以外，成交供应商不与采购人签订合同的；</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（5）供应商与采购人、其他供应商或者采购代理机构恶意串通的；</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（6）磋商文件规定的其他情形。</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20.</w:t>
      </w:r>
      <w:r>
        <w:rPr>
          <w:rFonts w:hint="eastAsia" w:ascii="仿宋_GB2312" w:hAnsi="仿宋_GB2312" w:eastAsia="仿宋_GB2312" w:cs="仿宋_GB2312"/>
          <w:color w:val="auto"/>
          <w:szCs w:val="21"/>
          <w:highlight w:val="none"/>
        </w:rPr>
        <w:t xml:space="preserve"> </w:t>
      </w:r>
      <w:r>
        <w:rPr>
          <w:rFonts w:hint="eastAsia" w:ascii="仿宋_GB2312" w:hAnsi="仿宋_GB2312" w:eastAsia="仿宋_GB2312" w:cs="仿宋_GB2312"/>
          <w:b/>
          <w:color w:val="auto"/>
          <w:highlight w:val="none"/>
        </w:rPr>
        <w:t>响应文件</w:t>
      </w:r>
      <w:r>
        <w:rPr>
          <w:rFonts w:hint="eastAsia" w:ascii="仿宋_GB2312" w:hAnsi="仿宋_GB2312" w:eastAsia="仿宋_GB2312" w:cs="仿宋_GB2312"/>
          <w:b/>
          <w:color w:val="auto"/>
          <w:szCs w:val="21"/>
          <w:highlight w:val="none"/>
        </w:rPr>
        <w:t>有效期</w:t>
      </w:r>
    </w:p>
    <w:p>
      <w:pPr>
        <w:adjustRightInd w:val="0"/>
        <w:snapToGrid w:val="0"/>
        <w:spacing w:line="360" w:lineRule="auto"/>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20.1响应文件</w:t>
      </w:r>
      <w:r>
        <w:rPr>
          <w:rFonts w:hint="eastAsia" w:ascii="仿宋_GB2312" w:hAnsi="仿宋_GB2312" w:eastAsia="仿宋_GB2312" w:cs="仿宋_GB2312"/>
          <w:color w:val="auto"/>
          <w:szCs w:val="21"/>
          <w:highlight w:val="none"/>
        </w:rPr>
        <w:t>有效期见</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szCs w:val="21"/>
          <w:highlight w:val="none"/>
        </w:rPr>
        <w:t>，在此期间</w:t>
      </w:r>
      <w:r>
        <w:rPr>
          <w:rFonts w:hint="eastAsia" w:ascii="仿宋_GB2312" w:hAnsi="仿宋_GB2312" w:eastAsia="仿宋_GB2312" w:cs="仿宋_GB2312"/>
          <w:color w:val="auto"/>
          <w:highlight w:val="none"/>
        </w:rPr>
        <w:t>响应</w:t>
      </w:r>
      <w:r>
        <w:rPr>
          <w:rFonts w:hint="eastAsia" w:ascii="仿宋_GB2312" w:hAnsi="仿宋_GB2312" w:eastAsia="仿宋_GB2312" w:cs="仿宋_GB2312"/>
          <w:color w:val="auto"/>
          <w:szCs w:val="21"/>
          <w:highlight w:val="none"/>
        </w:rPr>
        <w:t>文件对供应商具有法律约束力，</w:t>
      </w:r>
      <w:r>
        <w:rPr>
          <w:rFonts w:hint="eastAsia" w:ascii="仿宋_GB2312" w:hAnsi="仿宋_GB2312" w:eastAsia="仿宋_GB2312" w:cs="仿宋_GB2312"/>
          <w:color w:val="auto"/>
          <w:highlight w:val="none"/>
        </w:rPr>
        <w:t>从</w:t>
      </w:r>
      <w:r>
        <w:rPr>
          <w:rFonts w:hint="eastAsia" w:ascii="仿宋_GB2312" w:hAnsi="仿宋_GB2312" w:eastAsia="仿宋_GB2312" w:cs="仿宋_GB2312"/>
          <w:color w:val="auto"/>
          <w:kern w:val="0"/>
          <w:szCs w:val="21"/>
          <w:highlight w:val="none"/>
        </w:rPr>
        <w:t>提交首次响应文件截止时间</w:t>
      </w:r>
      <w:r>
        <w:rPr>
          <w:rFonts w:hint="eastAsia" w:ascii="仿宋_GB2312" w:hAnsi="仿宋_GB2312" w:eastAsia="仿宋_GB2312" w:cs="仿宋_GB2312"/>
          <w:color w:val="auto"/>
          <w:highlight w:val="none"/>
        </w:rPr>
        <w:t>之日起计算。响应文件有效期不足的将被视为无效响应。</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21.响应文件的签署及规定</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highlight w:val="none"/>
        </w:rPr>
        <w:t>21.1响应文件的正本和副本应装订成册，正本一份，副本二份，电子文件一份。正本和副本的封面上应标记“正本”或“副本”的字样，当正本和副本有差异时，以正本为准。</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21.2商务文件正本和副本应按磋商文件要求签章处盖单位章和由法定代表人或其委托代理人签字；任何加行、涂改、增删，应有法定代表人或其委托代理人在旁边签字。否则，将导致响应文件无效。</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u w:val="single"/>
        </w:rPr>
      </w:pPr>
      <w:r>
        <w:rPr>
          <w:rFonts w:hint="eastAsia" w:ascii="仿宋_GB2312" w:hAnsi="仿宋_GB2312" w:eastAsia="仿宋_GB2312" w:cs="仿宋_GB2312"/>
          <w:color w:val="auto"/>
          <w:highlight w:val="none"/>
        </w:rPr>
        <w:t>21.3 在磋商过程中，供应商按磋商文件规定和磋商小组要求</w:t>
      </w:r>
      <w:r>
        <w:rPr>
          <w:rFonts w:hint="eastAsia" w:ascii="仿宋_GB2312" w:hAnsi="仿宋_GB2312" w:eastAsia="仿宋_GB2312" w:cs="仿宋_GB2312"/>
          <w:color w:val="auto"/>
          <w:kern w:val="0"/>
          <w:highlight w:val="none"/>
        </w:rPr>
        <w:t>提交的</w:t>
      </w:r>
      <w:r>
        <w:rPr>
          <w:rFonts w:hint="eastAsia" w:ascii="仿宋_GB2312" w:hAnsi="仿宋_GB2312" w:eastAsia="仿宋_GB2312" w:cs="仿宋_GB2312"/>
          <w:color w:val="auto"/>
          <w:highlight w:val="none"/>
        </w:rPr>
        <w:t>最后报价(或者</w:t>
      </w:r>
      <w:r>
        <w:rPr>
          <w:rFonts w:hint="eastAsia" w:ascii="仿宋_GB2312" w:hAnsi="仿宋_GB2312" w:eastAsia="仿宋_GB2312" w:cs="仿宋_GB2312"/>
          <w:bCs/>
          <w:color w:val="auto"/>
          <w:highlight w:val="none"/>
        </w:rPr>
        <w:t>重</w:t>
      </w:r>
      <w:r>
        <w:rPr>
          <w:rFonts w:hint="eastAsia" w:ascii="仿宋_GB2312" w:hAnsi="仿宋_GB2312" w:eastAsia="仿宋_GB2312" w:cs="仿宋_GB2312"/>
          <w:color w:val="auto"/>
          <w:kern w:val="0"/>
          <w:highlight w:val="none"/>
        </w:rPr>
        <w:t>新提交的响应文件和</w:t>
      </w:r>
      <w:r>
        <w:rPr>
          <w:rFonts w:hint="eastAsia" w:ascii="仿宋_GB2312" w:hAnsi="仿宋_GB2312" w:eastAsia="仿宋_GB2312" w:cs="仿宋_GB2312"/>
          <w:color w:val="auto"/>
          <w:highlight w:val="none"/>
        </w:rPr>
        <w:t>最后报价)，一式两份，可打印或用不退色墨水书写，但需经法定代表人或其委托代理人签字，</w:t>
      </w:r>
      <w:r>
        <w:rPr>
          <w:rFonts w:hint="eastAsia" w:ascii="仿宋_GB2312" w:hAnsi="仿宋_GB2312" w:eastAsia="仿宋_GB2312" w:cs="仿宋_GB2312"/>
          <w:color w:val="auto"/>
          <w:kern w:val="0"/>
          <w:highlight w:val="none"/>
        </w:rPr>
        <w:t>或者加盖供应商单位章</w:t>
      </w:r>
      <w:r>
        <w:rPr>
          <w:rFonts w:hint="eastAsia" w:ascii="仿宋_GB2312" w:hAnsi="仿宋_GB2312" w:eastAsia="仿宋_GB2312" w:cs="仿宋_GB2312"/>
          <w:color w:val="auto"/>
          <w:highlight w:val="none"/>
        </w:rPr>
        <w:t>。否则，将导致响应文件无效。</w:t>
      </w:r>
    </w:p>
    <w:p>
      <w:pPr>
        <w:numPr>
          <w:ilvl w:val="0"/>
          <w:numId w:val="7"/>
        </w:numPr>
        <w:adjustRightInd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响应文件的递交</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22.</w:t>
      </w:r>
      <w:r>
        <w:rPr>
          <w:rFonts w:hint="eastAsia" w:ascii="仿宋_GB2312" w:hAnsi="仿宋_GB2312" w:eastAsia="仿宋_GB2312" w:cs="仿宋_GB2312"/>
          <w:b/>
          <w:color w:val="auto"/>
          <w:szCs w:val="21"/>
          <w:highlight w:val="none"/>
        </w:rPr>
        <w:t>响应文件</w:t>
      </w:r>
      <w:r>
        <w:rPr>
          <w:rFonts w:hint="eastAsia" w:ascii="仿宋_GB2312" w:hAnsi="仿宋_GB2312" w:eastAsia="仿宋_GB2312" w:cs="仿宋_GB2312"/>
          <w:b/>
          <w:bCs/>
          <w:color w:val="auto"/>
          <w:szCs w:val="21"/>
          <w:highlight w:val="none"/>
        </w:rPr>
        <w:t>的分包和密封标记</w:t>
      </w:r>
    </w:p>
    <w:p>
      <w:pPr>
        <w:adjustRightInd w:val="0"/>
        <w:snapToGrid w:val="0"/>
        <w:spacing w:line="360" w:lineRule="auto"/>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22.1响应文件（正副本、电子文件）应密封包装，加贴封条，并在封套的封口处盖供应商单位章或者由法定代表人或其委托代理人签字。</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22.2响应文件封套上应写明的内容见</w:t>
      </w:r>
      <w:r>
        <w:rPr>
          <w:rFonts w:hint="eastAsia" w:ascii="仿宋_GB2312" w:hAnsi="仿宋_GB2312" w:eastAsia="仿宋_GB2312" w:cs="仿宋_GB2312"/>
          <w:b/>
          <w:color w:val="auto"/>
          <w:szCs w:val="21"/>
          <w:highlight w:val="none"/>
        </w:rPr>
        <w:t>磋商须知前附表。</w:t>
      </w:r>
    </w:p>
    <w:p>
      <w:pPr>
        <w:adjustRightInd w:val="0"/>
        <w:snapToGrid w:val="0"/>
        <w:spacing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22.3响应文件如果未按上述规定密封和加写标记，采购人或采购代理机构将拒绝接收。</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23.响应文件的</w:t>
      </w:r>
      <w:r>
        <w:rPr>
          <w:rFonts w:hint="eastAsia" w:ascii="仿宋_GB2312" w:hAnsi="仿宋_GB2312" w:eastAsia="仿宋_GB2312" w:cs="仿宋_GB2312"/>
          <w:b/>
          <w:color w:val="auto"/>
          <w:kern w:val="0"/>
          <w:szCs w:val="21"/>
          <w:highlight w:val="none"/>
          <w:lang w:val="zh-CN"/>
        </w:rPr>
        <w:t>补充、修改或者撤回</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23.1</w:t>
      </w:r>
      <w:r>
        <w:rPr>
          <w:rFonts w:hint="eastAsia" w:ascii="仿宋_GB2312" w:hAnsi="仿宋_GB2312" w:eastAsia="仿宋_GB2312" w:cs="仿宋_GB2312"/>
          <w:color w:val="auto"/>
          <w:kern w:val="0"/>
          <w:highlight w:val="none"/>
        </w:rPr>
        <w:t>供</w:t>
      </w:r>
      <w:r>
        <w:rPr>
          <w:rFonts w:hint="eastAsia" w:ascii="仿宋_GB2312" w:hAnsi="仿宋_GB2312" w:eastAsia="仿宋_GB2312" w:cs="仿宋_GB2312"/>
          <w:color w:val="auto"/>
          <w:spacing w:val="-4"/>
          <w:kern w:val="0"/>
          <w:highlight w:val="none"/>
        </w:rPr>
        <w:t>应商在提交首次响应文件截止时间前，可以对所提交的首次响应文件进行补充、修改或者撤回，并书面通知采购人、采购代理机构。</w:t>
      </w:r>
      <w:r>
        <w:rPr>
          <w:rFonts w:hint="eastAsia" w:ascii="仿宋_GB2312" w:hAnsi="仿宋_GB2312" w:eastAsia="仿宋_GB2312" w:cs="仿宋_GB2312"/>
          <w:color w:val="auto"/>
          <w:spacing w:val="-4"/>
          <w:highlight w:val="none"/>
        </w:rPr>
        <w:t>该通知应有供应商法定代表人或其委托代理人签字。</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23.2</w:t>
      </w:r>
      <w:r>
        <w:rPr>
          <w:rFonts w:hint="eastAsia" w:ascii="仿宋_GB2312" w:hAnsi="仿宋_GB2312" w:eastAsia="仿宋_GB2312" w:cs="仿宋_GB2312"/>
          <w:color w:val="auto"/>
          <w:kern w:val="0"/>
          <w:highlight w:val="none"/>
          <w:lang w:val="zh-CN"/>
        </w:rPr>
        <w:t>补充、修改的内容与响应文件不一致时，以补充、修改的内容为准。</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24.响应文件的递交与接收</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24.1供应商应在</w:t>
      </w:r>
      <w:r>
        <w:rPr>
          <w:rFonts w:hint="eastAsia" w:ascii="仿宋_GB2312" w:hAnsi="仿宋_GB2312" w:eastAsia="仿宋_GB2312" w:cs="仿宋_GB2312"/>
          <w:color w:val="auto"/>
          <w:kern w:val="0"/>
          <w:szCs w:val="21"/>
          <w:highlight w:val="none"/>
        </w:rPr>
        <w:t>提交首次响应文件截止时间</w:t>
      </w:r>
      <w:r>
        <w:rPr>
          <w:rFonts w:hint="eastAsia" w:ascii="仿宋_GB2312" w:hAnsi="仿宋_GB2312" w:eastAsia="仿宋_GB2312" w:cs="仿宋_GB2312"/>
          <w:color w:val="auto"/>
          <w:szCs w:val="21"/>
          <w:highlight w:val="none"/>
        </w:rPr>
        <w:t>前，将响应文件送达</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中指定的地点。</w:t>
      </w:r>
      <w:r>
        <w:rPr>
          <w:rFonts w:hint="eastAsia" w:ascii="仿宋_GB2312" w:hAnsi="仿宋_GB2312" w:eastAsia="仿宋_GB2312" w:cs="仿宋_GB2312"/>
          <w:color w:val="auto"/>
          <w:kern w:val="0"/>
          <w:highlight w:val="none"/>
        </w:rPr>
        <w:t>在截止时间后送达的响应文件，采购人、采购代理机构或者磋商小组应当拒收。</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24.2</w:t>
      </w:r>
      <w:r>
        <w:rPr>
          <w:rFonts w:hint="eastAsia" w:ascii="仿宋_GB2312" w:hAnsi="仿宋_GB2312" w:eastAsia="仿宋_GB2312" w:cs="仿宋_GB2312"/>
          <w:color w:val="auto"/>
          <w:kern w:val="0"/>
          <w:highlight w:val="none"/>
        </w:rPr>
        <w:t>在提交首次响应文件截止时间后，</w:t>
      </w:r>
      <w:r>
        <w:rPr>
          <w:rFonts w:hint="eastAsia" w:ascii="仿宋_GB2312" w:hAnsi="仿宋_GB2312" w:eastAsia="仿宋_GB2312" w:cs="仿宋_GB2312"/>
          <w:color w:val="auto"/>
          <w:highlight w:val="none"/>
        </w:rPr>
        <w:t>由</w:t>
      </w:r>
      <w:r>
        <w:rPr>
          <w:rFonts w:hint="eastAsia" w:ascii="仿宋_GB2312" w:hAnsi="仿宋_GB2312" w:eastAsia="仿宋_GB2312" w:cs="仿宋_GB2312"/>
          <w:bCs/>
          <w:color w:val="auto"/>
          <w:highlight w:val="none"/>
        </w:rPr>
        <w:t>供应商代表</w:t>
      </w:r>
      <w:r>
        <w:rPr>
          <w:rFonts w:hint="eastAsia" w:ascii="仿宋_GB2312" w:hAnsi="仿宋_GB2312" w:eastAsia="仿宋_GB2312" w:cs="仿宋_GB2312"/>
          <w:color w:val="auto"/>
          <w:highlight w:val="none"/>
        </w:rPr>
        <w:t>当场查验</w:t>
      </w:r>
      <w:r>
        <w:rPr>
          <w:rFonts w:hint="eastAsia" w:ascii="仿宋_GB2312" w:hAnsi="仿宋_GB2312" w:eastAsia="仿宋_GB2312" w:cs="仿宋_GB2312"/>
          <w:bCs/>
          <w:color w:val="auto"/>
          <w:highlight w:val="none"/>
        </w:rPr>
        <w:t>响应文件</w:t>
      </w:r>
      <w:r>
        <w:rPr>
          <w:rFonts w:hint="eastAsia" w:ascii="仿宋_GB2312" w:hAnsi="仿宋_GB2312" w:eastAsia="仿宋_GB2312" w:cs="仿宋_GB2312"/>
          <w:color w:val="auto"/>
          <w:highlight w:val="none"/>
        </w:rPr>
        <w:t>的密封状况，采购人或</w:t>
      </w:r>
      <w:r>
        <w:rPr>
          <w:rFonts w:hint="eastAsia" w:ascii="仿宋_GB2312" w:hAnsi="仿宋_GB2312" w:eastAsia="仿宋_GB2312" w:cs="仿宋_GB2312"/>
          <w:bCs/>
          <w:color w:val="auto"/>
          <w:highlight w:val="none"/>
        </w:rPr>
        <w:t>采购代理机构</w:t>
      </w:r>
      <w:r>
        <w:rPr>
          <w:rFonts w:hint="eastAsia" w:ascii="仿宋_GB2312" w:hAnsi="仿宋_GB2312" w:eastAsia="仿宋_GB2312" w:cs="仿宋_GB2312"/>
          <w:color w:val="auto"/>
          <w:highlight w:val="none"/>
        </w:rPr>
        <w:t>不当场拆封</w:t>
      </w:r>
      <w:r>
        <w:rPr>
          <w:rFonts w:hint="eastAsia" w:ascii="仿宋_GB2312" w:hAnsi="仿宋_GB2312" w:eastAsia="仿宋_GB2312" w:cs="仿宋_GB2312"/>
          <w:bCs/>
          <w:color w:val="auto"/>
          <w:highlight w:val="none"/>
        </w:rPr>
        <w:t>响应文件</w:t>
      </w:r>
      <w:r>
        <w:rPr>
          <w:rFonts w:hint="eastAsia" w:ascii="仿宋_GB2312" w:hAnsi="仿宋_GB2312" w:eastAsia="仿宋_GB2312" w:cs="仿宋_GB2312"/>
          <w:color w:val="auto"/>
          <w:highlight w:val="none"/>
        </w:rPr>
        <w:t>。</w:t>
      </w:r>
    </w:p>
    <w:p>
      <w:pPr>
        <w:adjustRightInd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五、响应文件的磋商与评审</w:t>
      </w:r>
    </w:p>
    <w:p>
      <w:pPr>
        <w:tabs>
          <w:tab w:val="left" w:pos="0"/>
        </w:tabs>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25.磋商程序</w:t>
      </w:r>
    </w:p>
    <w:p>
      <w:pPr>
        <w:widowControl/>
        <w:adjustRightInd w:val="0"/>
        <w:snapToGrid w:val="0"/>
        <w:spacing w:line="360" w:lineRule="auto"/>
        <w:ind w:firstLine="42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color w:val="auto"/>
          <w:kern w:val="0"/>
          <w:szCs w:val="21"/>
          <w:highlight w:val="none"/>
        </w:rPr>
        <w:t>25.1磋商程序：响应文件审查、磋商（包括澄清）、响应文件评审、</w:t>
      </w:r>
      <w:r>
        <w:rPr>
          <w:rFonts w:hint="eastAsia" w:ascii="仿宋_GB2312" w:hAnsi="仿宋_GB2312" w:eastAsia="仿宋_GB2312" w:cs="仿宋_GB2312"/>
          <w:bCs/>
          <w:color w:val="auto"/>
          <w:szCs w:val="21"/>
          <w:highlight w:val="none"/>
        </w:rPr>
        <w:t>提出成交供应商。其中，</w:t>
      </w:r>
      <w:r>
        <w:rPr>
          <w:rFonts w:hint="eastAsia" w:ascii="仿宋_GB2312" w:hAnsi="仿宋_GB2312" w:eastAsia="仿宋_GB2312" w:cs="仿宋_GB2312"/>
          <w:color w:val="auto"/>
          <w:kern w:val="0"/>
          <w:szCs w:val="21"/>
          <w:highlight w:val="none"/>
        </w:rPr>
        <w:t>磋商按</w:t>
      </w:r>
      <w:r>
        <w:rPr>
          <w:rFonts w:hint="eastAsia" w:ascii="仿宋_GB2312" w:hAnsi="仿宋_GB2312" w:eastAsia="仿宋_GB2312" w:cs="仿宋_GB2312"/>
          <w:color w:val="auto"/>
          <w:szCs w:val="21"/>
          <w:highlight w:val="none"/>
        </w:rPr>
        <w:t>本章</w:t>
      </w:r>
      <w:r>
        <w:rPr>
          <w:rFonts w:hint="eastAsia" w:ascii="仿宋_GB2312" w:hAnsi="仿宋_GB2312" w:eastAsia="仿宋_GB2312" w:cs="仿宋_GB2312"/>
          <w:color w:val="auto"/>
          <w:highlight w:val="none"/>
        </w:rPr>
        <w:t>第30.1</w:t>
      </w:r>
      <w:r>
        <w:rPr>
          <w:rFonts w:hint="eastAsia" w:ascii="仿宋_GB2312" w:hAnsi="仿宋_GB2312" w:eastAsia="仿宋_GB2312" w:cs="仿宋_GB2312"/>
          <w:color w:val="auto"/>
          <w:kern w:val="0"/>
          <w:szCs w:val="21"/>
          <w:highlight w:val="none"/>
          <w:lang w:val="zh-CN"/>
        </w:rPr>
        <w:t>款或者</w:t>
      </w:r>
      <w:r>
        <w:rPr>
          <w:rFonts w:hint="eastAsia" w:ascii="仿宋_GB2312" w:hAnsi="仿宋_GB2312" w:eastAsia="仿宋_GB2312" w:cs="仿宋_GB2312"/>
          <w:color w:val="auto"/>
          <w:highlight w:val="none"/>
        </w:rPr>
        <w:t>第30.2</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highlight w:val="none"/>
        </w:rPr>
        <w:t>情形</w:t>
      </w:r>
      <w:r>
        <w:rPr>
          <w:rFonts w:hint="eastAsia" w:ascii="仿宋_GB2312" w:hAnsi="仿宋_GB2312" w:eastAsia="仿宋_GB2312" w:cs="仿宋_GB2312"/>
          <w:bCs/>
          <w:color w:val="auto"/>
          <w:szCs w:val="21"/>
          <w:highlight w:val="none"/>
        </w:rPr>
        <w:t>进行。</w:t>
      </w:r>
    </w:p>
    <w:p>
      <w:pPr>
        <w:widowControl/>
        <w:adjustRightInd w:val="0"/>
        <w:snapToGrid w:val="0"/>
        <w:spacing w:line="360" w:lineRule="auto"/>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kern w:val="0"/>
          <w:szCs w:val="21"/>
          <w:highlight w:val="none"/>
        </w:rPr>
        <w:t>26.响应文件审查</w:t>
      </w:r>
    </w:p>
    <w:p>
      <w:pPr>
        <w:adjustRightInd w:val="0"/>
        <w:snapToGrid w:val="0"/>
        <w:spacing w:beforeLines="50"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26.1资格性审查：根据本章第3.1项规定的供应商资格条件要求，对</w:t>
      </w:r>
      <w:r>
        <w:rPr>
          <w:rFonts w:hint="eastAsia" w:ascii="仿宋_GB2312" w:hAnsi="仿宋_GB2312" w:eastAsia="仿宋_GB2312" w:cs="仿宋_GB2312"/>
          <w:color w:val="auto"/>
          <w:highlight w:val="none"/>
        </w:rPr>
        <w:t>响应</w:t>
      </w:r>
      <w:r>
        <w:rPr>
          <w:rFonts w:hint="eastAsia" w:ascii="仿宋_GB2312" w:hAnsi="仿宋_GB2312" w:eastAsia="仿宋_GB2312" w:cs="仿宋_GB2312"/>
          <w:color w:val="auto"/>
          <w:szCs w:val="21"/>
          <w:highlight w:val="none"/>
        </w:rPr>
        <w:t>文件的资格证明等进行审查，以确定供应商是否具备磋商资格条件。</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26.2符合性审查: 对响应文件(包括首次提交的响应文件、重新提交的响应文件)的有效性、完整性和响应程度进行审查，以确定是否对磋商文件的实质性要求作出响应。</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26.3响应文件审查结束后，磋商小组所有成员集中与单一供应商分别进行磋商，并给予所有参加磋商的供应商平等的磋商机会。供应商应派其法定代表人或委托代理人参加磋商。</w:t>
      </w:r>
    </w:p>
    <w:p>
      <w:pPr>
        <w:pStyle w:val="9"/>
        <w:adjustRightInd w:val="0"/>
        <w:snapToGrid w:val="0"/>
        <w:spacing w:line="360" w:lineRule="auto"/>
        <w:rPr>
          <w:rFonts w:hint="eastAsia" w:ascii="仿宋_GB2312" w:hAnsi="仿宋_GB2312" w:eastAsia="仿宋_GB2312" w:cs="仿宋_GB2312"/>
          <w:b/>
          <w:color w:val="auto"/>
          <w:kern w:val="0"/>
          <w:highlight w:val="none"/>
        </w:rPr>
      </w:pPr>
      <w:r>
        <w:rPr>
          <w:rFonts w:hint="eastAsia" w:ascii="仿宋_GB2312" w:hAnsi="仿宋_GB2312" w:eastAsia="仿宋_GB2312" w:cs="仿宋_GB2312"/>
          <w:b/>
          <w:color w:val="auto"/>
          <w:kern w:val="0"/>
          <w:highlight w:val="none"/>
        </w:rPr>
        <w:t>27.实质性响应</w:t>
      </w:r>
    </w:p>
    <w:p>
      <w:pPr>
        <w:pStyle w:val="9"/>
        <w:adjustRightInd w:val="0"/>
        <w:snapToGrid w:val="0"/>
        <w:spacing w:line="360" w:lineRule="auto"/>
        <w:ind w:firstLine="420" w:firstLineChars="200"/>
        <w:rPr>
          <w:rFonts w:hint="eastAsia" w:ascii="仿宋_GB2312" w:hAnsi="仿宋_GB2312" w:eastAsia="仿宋_GB2312" w:cs="仿宋_GB2312"/>
          <w:color w:val="auto"/>
          <w:kern w:val="0"/>
          <w:highlight w:val="none"/>
          <w:u w:val="single"/>
        </w:rPr>
      </w:pPr>
      <w:r>
        <w:rPr>
          <w:rFonts w:hint="eastAsia" w:ascii="仿宋_GB2312" w:hAnsi="仿宋_GB2312" w:eastAsia="仿宋_GB2312" w:cs="仿宋_GB2312"/>
          <w:color w:val="auto"/>
          <w:kern w:val="0"/>
          <w:highlight w:val="none"/>
        </w:rPr>
        <w:t>27.1</w:t>
      </w:r>
      <w:r>
        <w:rPr>
          <w:rFonts w:hint="eastAsia" w:ascii="仿宋_GB2312" w:hAnsi="仿宋_GB2312" w:eastAsia="仿宋_GB2312" w:cs="仿宋_GB2312"/>
          <w:color w:val="auto"/>
          <w:highlight w:val="none"/>
        </w:rPr>
        <w:t>实质性响应是指响应文件(包括首次响应文件、重新提交的响应文件)与磋商文件要求的所有条款、条件和规格相符，没有偏离。偏离指不满足、或不响应磋商文件的要求。</w:t>
      </w:r>
    </w:p>
    <w:p>
      <w:pPr>
        <w:tabs>
          <w:tab w:val="left" w:pos="0"/>
          <w:tab w:val="left" w:pos="7560"/>
          <w:tab w:val="left" w:pos="7740"/>
          <w:tab w:val="left" w:pos="7920"/>
        </w:tabs>
        <w:adjustRightInd w:val="0"/>
        <w:snapToGrid w:val="0"/>
        <w:spacing w:line="360" w:lineRule="auto"/>
        <w:ind w:right="23" w:rightChars="11"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27.2</w:t>
      </w:r>
      <w:r>
        <w:rPr>
          <w:rFonts w:hint="eastAsia" w:ascii="仿宋_GB2312" w:hAnsi="仿宋_GB2312" w:eastAsia="仿宋_GB2312" w:cs="仿宋_GB2312"/>
          <w:color w:val="auto"/>
          <w:highlight w:val="none"/>
        </w:rPr>
        <w:t>响应文件是否实质性响应磋商文件要求由磋商小组依据磋商文件规定认定。</w:t>
      </w:r>
      <w:r>
        <w:rPr>
          <w:rFonts w:hint="eastAsia" w:ascii="仿宋_GB2312" w:hAnsi="仿宋_GB2312" w:eastAsia="仿宋_GB2312" w:cs="仿宋_GB2312"/>
          <w:color w:val="auto"/>
          <w:kern w:val="0"/>
          <w:szCs w:val="21"/>
          <w:highlight w:val="none"/>
        </w:rPr>
        <w:t>磋商小组</w:t>
      </w:r>
      <w:r>
        <w:rPr>
          <w:rFonts w:hint="eastAsia" w:ascii="仿宋_GB2312" w:hAnsi="仿宋_GB2312" w:eastAsia="仿宋_GB2312" w:cs="仿宋_GB2312"/>
          <w:color w:val="auto"/>
          <w:szCs w:val="21"/>
          <w:highlight w:val="none"/>
        </w:rPr>
        <w:t>决定</w:t>
      </w:r>
      <w:r>
        <w:rPr>
          <w:rFonts w:hint="eastAsia" w:ascii="仿宋_GB2312" w:hAnsi="仿宋_GB2312" w:eastAsia="仿宋_GB2312" w:cs="仿宋_GB2312"/>
          <w:color w:val="auto"/>
          <w:highlight w:val="none"/>
        </w:rPr>
        <w:t>响应文件</w:t>
      </w:r>
      <w:r>
        <w:rPr>
          <w:rFonts w:hint="eastAsia" w:ascii="仿宋_GB2312" w:hAnsi="仿宋_GB2312" w:eastAsia="仿宋_GB2312" w:cs="仿宋_GB2312"/>
          <w:color w:val="auto"/>
          <w:szCs w:val="21"/>
          <w:highlight w:val="none"/>
        </w:rPr>
        <w:t>的响应性只根据</w:t>
      </w:r>
      <w:r>
        <w:rPr>
          <w:rFonts w:hint="eastAsia" w:ascii="仿宋_GB2312" w:hAnsi="仿宋_GB2312" w:eastAsia="仿宋_GB2312" w:cs="仿宋_GB2312"/>
          <w:color w:val="auto"/>
          <w:highlight w:val="none"/>
        </w:rPr>
        <w:t>响应文件</w:t>
      </w:r>
      <w:r>
        <w:rPr>
          <w:rFonts w:hint="eastAsia" w:ascii="仿宋_GB2312" w:hAnsi="仿宋_GB2312" w:eastAsia="仿宋_GB2312" w:cs="仿宋_GB2312"/>
          <w:color w:val="auto"/>
          <w:szCs w:val="21"/>
          <w:highlight w:val="none"/>
        </w:rPr>
        <w:t>本身的真实无误的内容，而不依据外部的证据。</w:t>
      </w:r>
    </w:p>
    <w:p>
      <w:pPr>
        <w:pStyle w:val="9"/>
        <w:adjustRightInd w:val="0"/>
        <w:snapToGrid w:val="0"/>
        <w:spacing w:line="360" w:lineRule="auto"/>
        <w:rPr>
          <w:rFonts w:hint="eastAsia" w:ascii="仿宋_GB2312" w:hAnsi="仿宋_GB2312" w:eastAsia="仿宋_GB2312" w:cs="仿宋_GB2312"/>
          <w:b/>
          <w:color w:val="auto"/>
          <w:kern w:val="0"/>
          <w:highlight w:val="none"/>
        </w:rPr>
      </w:pPr>
      <w:r>
        <w:rPr>
          <w:rFonts w:hint="eastAsia" w:ascii="仿宋_GB2312" w:hAnsi="仿宋_GB2312" w:eastAsia="仿宋_GB2312" w:cs="仿宋_GB2312"/>
          <w:b/>
          <w:color w:val="auto"/>
          <w:kern w:val="0"/>
          <w:highlight w:val="none"/>
        </w:rPr>
        <w:t xml:space="preserve">28.无效响应 </w:t>
      </w:r>
    </w:p>
    <w:p>
      <w:pPr>
        <w:pStyle w:val="9"/>
        <w:adjustRightInd w:val="0"/>
        <w:snapToGrid w:val="0"/>
        <w:spacing w:line="360" w:lineRule="auto"/>
        <w:ind w:firstLine="411" w:firstLineChars="196"/>
        <w:rPr>
          <w:rFonts w:hint="eastAsia" w:ascii="仿宋_GB2312" w:hAnsi="仿宋_GB2312" w:eastAsia="仿宋_GB2312" w:cs="仿宋_GB2312"/>
          <w:b/>
          <w:color w:val="auto"/>
          <w:kern w:val="0"/>
          <w:highlight w:val="none"/>
        </w:rPr>
      </w:pPr>
      <w:r>
        <w:rPr>
          <w:rFonts w:hint="eastAsia" w:ascii="仿宋_GB2312" w:hAnsi="仿宋_GB2312" w:eastAsia="仿宋_GB2312" w:cs="仿宋_GB2312"/>
          <w:color w:val="auto"/>
          <w:kern w:val="0"/>
          <w:highlight w:val="none"/>
        </w:rPr>
        <w:t>28.1</w:t>
      </w:r>
      <w:r>
        <w:rPr>
          <w:rFonts w:hint="eastAsia" w:ascii="仿宋_GB2312" w:hAnsi="仿宋_GB2312" w:eastAsia="仿宋_GB2312" w:cs="仿宋_GB2312"/>
          <w:color w:val="auto"/>
          <w:highlight w:val="none"/>
        </w:rPr>
        <w:t>磋商小组在对资格性和符合性进行审查时，有下列情况之一的，属无效响应，</w:t>
      </w:r>
      <w:r>
        <w:rPr>
          <w:rFonts w:hint="eastAsia" w:ascii="仿宋_GB2312" w:hAnsi="仿宋_GB2312" w:eastAsia="仿宋_GB2312" w:cs="仿宋_GB2312"/>
          <w:color w:val="auto"/>
          <w:kern w:val="0"/>
          <w:highlight w:val="none"/>
        </w:rPr>
        <w:t>磋商小组应当告知有关供应商</w:t>
      </w:r>
      <w:r>
        <w:rPr>
          <w:rFonts w:hint="eastAsia" w:ascii="仿宋_GB2312" w:hAnsi="仿宋_GB2312" w:eastAsia="仿宋_GB2312" w:cs="仿宋_GB2312"/>
          <w:color w:val="auto"/>
          <w:highlight w:val="none"/>
        </w:rPr>
        <w:t>：</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（1）供应商不具备本章第3.1款规定的供应商资格条件要求，或存在本章第3.3款情形的；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（2）联合体不符合本章第3.2款规定的；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（3）应交未交磋商保证金或金额不足、磋商保证金缴纳形式不符合磋商文件要求的；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（4）响应文件未按照磋商文件要求签署、盖章的；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（4）响应文件不满足本章第27.1款规定的实质性要求的；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（5）报价超过采购项目预算的；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（6）响应文件有效期不足的；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（7）响应文件不符合法律、规章、规范性文件和磋商文件规定及要求的。</w:t>
      </w:r>
    </w:p>
    <w:p>
      <w:pPr>
        <w:widowControl/>
        <w:adjustRightInd w:val="0"/>
        <w:snapToGrid w:val="0"/>
        <w:spacing w:line="360" w:lineRule="auto"/>
        <w:jc w:val="left"/>
        <w:rPr>
          <w:rFonts w:hint="eastAsia" w:ascii="仿宋_GB2312" w:hAnsi="仿宋_GB2312" w:eastAsia="仿宋_GB2312" w:cs="仿宋_GB2312"/>
          <w:b/>
          <w:color w:val="auto"/>
          <w:kern w:val="0"/>
          <w:szCs w:val="21"/>
          <w:highlight w:val="none"/>
        </w:rPr>
      </w:pPr>
      <w:r>
        <w:rPr>
          <w:rFonts w:hint="eastAsia" w:ascii="仿宋_GB2312" w:hAnsi="仿宋_GB2312" w:eastAsia="仿宋_GB2312" w:cs="仿宋_GB2312"/>
          <w:b/>
          <w:color w:val="auto"/>
          <w:kern w:val="0"/>
          <w:szCs w:val="21"/>
          <w:highlight w:val="none"/>
        </w:rPr>
        <w:t>29.澄清</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29.1 磋商小组在对响应文件的有效性、完整性和对磋商文件的响应程度进行审查时，可以要求供应商对响应文件中含义不明确、同类问题表述不一致或者有明显文字和计算错误的内容等作出必要的澄清、说明或者更正。该要求应当以书面形式作出。供应商的澄清、说明或者更正应当采用书面形式，由其法定代表人或其委托代理人签字或者加盖公章。供应商的澄清、说明或者更正不得超出响应文件的范围或者改变响应文件的实质性内容。</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29.2 最后报价计算错误修正的原则：最后报价的大写金额和小写金额不一致的，以大写金额为准；总价金额与按分项报价汇总金额不一致的，以分项报价金额计算结果为准；分项报价金额小数点有明显错位的，应以总价为准，并修改分项报价。</w:t>
      </w:r>
    </w:p>
    <w:p>
      <w:pPr>
        <w:widowControl/>
        <w:adjustRightInd w:val="0"/>
        <w:snapToGrid w:val="0"/>
        <w:spacing w:line="360" w:lineRule="auto"/>
        <w:jc w:val="left"/>
        <w:rPr>
          <w:rFonts w:hint="eastAsia" w:ascii="仿宋_GB2312" w:hAnsi="仿宋_GB2312" w:eastAsia="仿宋_GB2312" w:cs="仿宋_GB2312"/>
          <w:b/>
          <w:color w:val="auto"/>
          <w:kern w:val="0"/>
          <w:szCs w:val="21"/>
          <w:highlight w:val="none"/>
        </w:rPr>
      </w:pPr>
      <w:r>
        <w:rPr>
          <w:rFonts w:hint="eastAsia" w:ascii="仿宋_GB2312" w:hAnsi="仿宋_GB2312" w:eastAsia="仿宋_GB2312" w:cs="仿宋_GB2312"/>
          <w:b/>
          <w:color w:val="auto"/>
          <w:kern w:val="0"/>
          <w:szCs w:val="21"/>
          <w:highlight w:val="none"/>
        </w:rPr>
        <w:t>30.磋商</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lang w:val="zh-CN"/>
        </w:rPr>
      </w:pPr>
      <w:r>
        <w:rPr>
          <w:rFonts w:hint="eastAsia" w:ascii="仿宋_GB2312" w:hAnsi="仿宋_GB2312" w:eastAsia="仿宋_GB2312" w:cs="仿宋_GB2312"/>
          <w:color w:val="auto"/>
          <w:kern w:val="0"/>
          <w:szCs w:val="21"/>
          <w:highlight w:val="none"/>
        </w:rPr>
        <w:t>30.1</w:t>
      </w:r>
      <w:r>
        <w:rPr>
          <w:rFonts w:hint="eastAsia" w:ascii="仿宋_GB2312" w:hAnsi="仿宋_GB2312" w:eastAsia="仿宋_GB2312" w:cs="仿宋_GB2312"/>
          <w:color w:val="auto"/>
          <w:highlight w:val="none"/>
        </w:rPr>
        <w:t>本章第10.2项</w:t>
      </w:r>
      <w:r>
        <w:rPr>
          <w:rFonts w:hint="eastAsia" w:ascii="仿宋_GB2312" w:hAnsi="仿宋_GB2312" w:eastAsia="仿宋_GB2312" w:cs="仿宋_GB2312"/>
          <w:color w:val="auto"/>
          <w:kern w:val="0"/>
          <w:szCs w:val="21"/>
          <w:highlight w:val="none"/>
        </w:rPr>
        <w:t>未明确磋商文件实质性变动内容的，或者磋商文件明确了可能发生实质性变动内容，但在磋商过程中，</w:t>
      </w:r>
      <w:r>
        <w:rPr>
          <w:rFonts w:hint="eastAsia" w:ascii="仿宋_GB2312" w:hAnsi="仿宋_GB2312" w:eastAsia="仿宋_GB2312" w:cs="仿宋_GB2312"/>
          <w:bCs/>
          <w:color w:val="auto"/>
          <w:szCs w:val="21"/>
          <w:highlight w:val="none"/>
        </w:rPr>
        <w:t>磋商小组</w:t>
      </w:r>
      <w:r>
        <w:rPr>
          <w:rFonts w:hint="eastAsia" w:ascii="仿宋_GB2312" w:hAnsi="仿宋_GB2312" w:eastAsia="仿宋_GB2312" w:cs="仿宋_GB2312"/>
          <w:color w:val="auto"/>
          <w:kern w:val="0"/>
          <w:szCs w:val="21"/>
          <w:highlight w:val="none"/>
        </w:rPr>
        <w:t>根据磋商情况</w:t>
      </w:r>
      <w:r>
        <w:rPr>
          <w:rFonts w:hint="eastAsia" w:ascii="仿宋_GB2312" w:hAnsi="仿宋_GB2312" w:eastAsia="仿宋_GB2312" w:cs="仿宋_GB2312"/>
          <w:bCs/>
          <w:color w:val="auto"/>
          <w:szCs w:val="21"/>
          <w:highlight w:val="none"/>
        </w:rPr>
        <w:t>认为</w:t>
      </w:r>
      <w:r>
        <w:rPr>
          <w:rFonts w:hint="eastAsia" w:ascii="仿宋_GB2312" w:hAnsi="仿宋_GB2312" w:eastAsia="仿宋_GB2312" w:cs="仿宋_GB2312"/>
          <w:color w:val="auto"/>
          <w:kern w:val="0"/>
          <w:szCs w:val="21"/>
          <w:highlight w:val="none"/>
        </w:rPr>
        <w:t>磋商文件无需发生实质性变动的，磋商小组应当直接与响应文件审查合格的供应商就价格组织多轮磋商。</w:t>
      </w:r>
    </w:p>
    <w:p>
      <w:pPr>
        <w:widowControl/>
        <w:tabs>
          <w:tab w:val="left" w:pos="1080"/>
          <w:tab w:val="left" w:pos="1260"/>
        </w:tabs>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（1）磋商结束后，磋商小组应当要求所有继续参加磋商的供应商在磋商小组规定时间内提交最后报价。</w:t>
      </w:r>
    </w:p>
    <w:p>
      <w:pPr>
        <w:widowControl/>
        <w:tabs>
          <w:tab w:val="left" w:pos="1080"/>
          <w:tab w:val="left" w:pos="1260"/>
        </w:tabs>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（2）磋商文件明确可能发生实质性变动，但在磋商过程中</w:t>
      </w:r>
      <w:r>
        <w:rPr>
          <w:rFonts w:hint="eastAsia" w:ascii="仿宋_GB2312" w:hAnsi="仿宋_GB2312" w:eastAsia="仿宋_GB2312" w:cs="仿宋_GB2312"/>
          <w:bCs/>
          <w:color w:val="auto"/>
          <w:szCs w:val="21"/>
          <w:highlight w:val="none"/>
        </w:rPr>
        <w:t>磋商小组</w:t>
      </w:r>
      <w:r>
        <w:rPr>
          <w:rFonts w:hint="eastAsia" w:ascii="仿宋_GB2312" w:hAnsi="仿宋_GB2312" w:eastAsia="仿宋_GB2312" w:cs="仿宋_GB2312"/>
          <w:color w:val="auto"/>
          <w:kern w:val="0"/>
          <w:szCs w:val="21"/>
          <w:highlight w:val="none"/>
        </w:rPr>
        <w:t>根据磋商情况</w:t>
      </w:r>
      <w:r>
        <w:rPr>
          <w:rFonts w:hint="eastAsia" w:ascii="仿宋_GB2312" w:hAnsi="仿宋_GB2312" w:eastAsia="仿宋_GB2312" w:cs="仿宋_GB2312"/>
          <w:bCs/>
          <w:color w:val="auto"/>
          <w:szCs w:val="21"/>
          <w:highlight w:val="none"/>
        </w:rPr>
        <w:t>认为</w:t>
      </w:r>
      <w:r>
        <w:rPr>
          <w:rFonts w:hint="eastAsia" w:ascii="仿宋_GB2312" w:hAnsi="仿宋_GB2312" w:eastAsia="仿宋_GB2312" w:cs="仿宋_GB2312"/>
          <w:color w:val="auto"/>
          <w:kern w:val="0"/>
          <w:szCs w:val="21"/>
          <w:highlight w:val="none"/>
        </w:rPr>
        <w:t>磋商文件无需发生实质性变动的，磋商小组不另行通知。</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30.2</w:t>
      </w:r>
      <w:r>
        <w:rPr>
          <w:rFonts w:hint="eastAsia" w:ascii="仿宋_GB2312" w:hAnsi="仿宋_GB2312" w:eastAsia="仿宋_GB2312" w:cs="仿宋_GB2312"/>
          <w:color w:val="auto"/>
          <w:highlight w:val="none"/>
        </w:rPr>
        <w:t>本章第10.2</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kern w:val="0"/>
          <w:szCs w:val="21"/>
          <w:highlight w:val="none"/>
        </w:rPr>
        <w:t>明确磋商文件实质性变动内容的，</w:t>
      </w:r>
      <w:r>
        <w:rPr>
          <w:rFonts w:hint="eastAsia" w:ascii="仿宋_GB2312" w:hAnsi="仿宋_GB2312" w:eastAsia="仿宋_GB2312" w:cs="仿宋_GB2312"/>
          <w:bCs/>
          <w:color w:val="auto"/>
          <w:szCs w:val="21"/>
          <w:highlight w:val="none"/>
        </w:rPr>
        <w:t>磋商小组</w:t>
      </w:r>
      <w:r>
        <w:rPr>
          <w:rFonts w:hint="eastAsia" w:ascii="仿宋_GB2312" w:hAnsi="仿宋_GB2312" w:eastAsia="仿宋_GB2312" w:cs="仿宋_GB2312"/>
          <w:color w:val="auto"/>
          <w:kern w:val="0"/>
          <w:szCs w:val="21"/>
          <w:highlight w:val="none"/>
        </w:rPr>
        <w:t>可以组织多轮磋商。</w:t>
      </w:r>
      <w:r>
        <w:rPr>
          <w:rFonts w:hint="eastAsia" w:ascii="仿宋_GB2312" w:hAnsi="仿宋_GB2312" w:eastAsia="仿宋_GB2312" w:cs="仿宋_GB2312"/>
          <w:bCs/>
          <w:color w:val="auto"/>
          <w:szCs w:val="21"/>
          <w:highlight w:val="none"/>
        </w:rPr>
        <w:t>在每一轮磋商中，磋商小组</w:t>
      </w:r>
      <w:r>
        <w:rPr>
          <w:rFonts w:hint="eastAsia" w:ascii="仿宋_GB2312" w:hAnsi="仿宋_GB2312" w:eastAsia="仿宋_GB2312" w:cs="仿宋_GB2312"/>
          <w:color w:val="auto"/>
          <w:kern w:val="0"/>
          <w:szCs w:val="21"/>
          <w:highlight w:val="none"/>
        </w:rPr>
        <w:t>可以根据磋商文件规定和磋商情况，</w:t>
      </w:r>
      <w:r>
        <w:rPr>
          <w:rFonts w:hint="eastAsia" w:ascii="仿宋_GB2312" w:hAnsi="仿宋_GB2312" w:eastAsia="仿宋_GB2312" w:cs="仿宋_GB2312"/>
          <w:bCs/>
          <w:color w:val="auto"/>
          <w:szCs w:val="21"/>
          <w:highlight w:val="none"/>
        </w:rPr>
        <w:t>对磋商文件的</w:t>
      </w:r>
      <w:r>
        <w:rPr>
          <w:rFonts w:hint="eastAsia" w:ascii="仿宋_GB2312" w:hAnsi="仿宋_GB2312" w:eastAsia="仿宋_GB2312" w:cs="仿宋_GB2312"/>
          <w:color w:val="auto"/>
          <w:kern w:val="0"/>
          <w:szCs w:val="21"/>
          <w:highlight w:val="none"/>
        </w:rPr>
        <w:t>采购需求中的技术、服务要求以及合同草案条款</w:t>
      </w:r>
      <w:r>
        <w:rPr>
          <w:rFonts w:hint="eastAsia" w:ascii="仿宋_GB2312" w:hAnsi="仿宋_GB2312" w:eastAsia="仿宋_GB2312" w:cs="仿宋_GB2312"/>
          <w:bCs/>
          <w:color w:val="auto"/>
          <w:szCs w:val="21"/>
          <w:highlight w:val="none"/>
        </w:rPr>
        <w:t>作实质性变动(磋商文件的实质性变动内容为磋商文件的组成部分)，并以书面形式要求</w:t>
      </w:r>
      <w:r>
        <w:rPr>
          <w:rFonts w:hint="eastAsia" w:ascii="仿宋_GB2312" w:hAnsi="仿宋_GB2312" w:eastAsia="仿宋_GB2312" w:cs="仿宋_GB2312"/>
          <w:color w:val="auto"/>
          <w:kern w:val="0"/>
          <w:szCs w:val="21"/>
          <w:highlight w:val="none"/>
        </w:rPr>
        <w:t>响应文件审查合格</w:t>
      </w:r>
      <w:r>
        <w:rPr>
          <w:rFonts w:hint="eastAsia" w:ascii="仿宋_GB2312" w:hAnsi="仿宋_GB2312" w:eastAsia="仿宋_GB2312" w:cs="仿宋_GB2312"/>
          <w:bCs/>
          <w:color w:val="auto"/>
          <w:szCs w:val="21"/>
          <w:highlight w:val="none"/>
        </w:rPr>
        <w:t>的供应商，在规定的</w:t>
      </w:r>
      <w:r>
        <w:rPr>
          <w:rFonts w:hint="eastAsia" w:ascii="仿宋_GB2312" w:hAnsi="仿宋_GB2312" w:eastAsia="仿宋_GB2312" w:cs="仿宋_GB2312"/>
          <w:color w:val="auto"/>
          <w:kern w:val="0"/>
          <w:szCs w:val="21"/>
          <w:highlight w:val="none"/>
        </w:rPr>
        <w:t>截止时间前</w:t>
      </w:r>
      <w:r>
        <w:rPr>
          <w:rFonts w:hint="eastAsia" w:ascii="仿宋_GB2312" w:hAnsi="仿宋_GB2312" w:eastAsia="仿宋_GB2312" w:cs="仿宋_GB2312"/>
          <w:bCs/>
          <w:color w:val="auto"/>
          <w:szCs w:val="21"/>
          <w:highlight w:val="none"/>
        </w:rPr>
        <w:t>重</w:t>
      </w:r>
      <w:r>
        <w:rPr>
          <w:rFonts w:hint="eastAsia" w:ascii="仿宋_GB2312" w:hAnsi="仿宋_GB2312" w:eastAsia="仿宋_GB2312" w:cs="仿宋_GB2312"/>
          <w:color w:val="auto"/>
          <w:kern w:val="0"/>
          <w:szCs w:val="21"/>
          <w:highlight w:val="none"/>
        </w:rPr>
        <w:t>新提交响应文件</w:t>
      </w:r>
      <w:r>
        <w:rPr>
          <w:rFonts w:hint="eastAsia" w:ascii="仿宋_GB2312" w:hAnsi="仿宋_GB2312" w:eastAsia="仿宋_GB2312" w:cs="仿宋_GB2312"/>
          <w:bCs/>
          <w:color w:val="auto"/>
          <w:szCs w:val="21"/>
          <w:highlight w:val="none"/>
        </w:rPr>
        <w:t>。</w:t>
      </w:r>
      <w:r>
        <w:rPr>
          <w:rFonts w:hint="eastAsia" w:ascii="仿宋_GB2312" w:hAnsi="仿宋_GB2312" w:eastAsia="仿宋_GB2312" w:cs="仿宋_GB2312"/>
          <w:color w:val="auto"/>
          <w:kern w:val="0"/>
          <w:szCs w:val="21"/>
          <w:highlight w:val="none"/>
        </w:rPr>
        <w:t>磋商小组应当</w:t>
      </w:r>
      <w:r>
        <w:rPr>
          <w:rFonts w:hint="eastAsia" w:ascii="仿宋_GB2312" w:hAnsi="仿宋_GB2312" w:eastAsia="仿宋_GB2312" w:cs="仿宋_GB2312"/>
          <w:color w:val="auto"/>
          <w:szCs w:val="21"/>
          <w:highlight w:val="none"/>
        </w:rPr>
        <w:t>根据本章第26.2</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szCs w:val="21"/>
          <w:highlight w:val="none"/>
        </w:rPr>
        <w:t>规定</w:t>
      </w:r>
      <w:r>
        <w:rPr>
          <w:rFonts w:hint="eastAsia" w:ascii="仿宋_GB2312" w:hAnsi="仿宋_GB2312" w:eastAsia="仿宋_GB2312" w:cs="仿宋_GB2312"/>
          <w:color w:val="auto"/>
          <w:kern w:val="0"/>
          <w:szCs w:val="21"/>
          <w:highlight w:val="none"/>
        </w:rPr>
        <w:t>对供应商重新提交的响应文件进行审查。供应商重新提交的响应文件审查不合格的，不得进入下一轮磋商，也不得要求提交最后报价。</w:t>
      </w:r>
    </w:p>
    <w:p>
      <w:pPr>
        <w:adjustRightInd w:val="0"/>
        <w:snapToGrid w:val="0"/>
        <w:spacing w:line="360" w:lineRule="auto"/>
        <w:ind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（1）磋商文件能够详细列明采购需求的技术、服务要求的，磋商结束后，磋商小组应当要求所有继续参加磋商的供应商在规定时间内提交最后报价。</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磋商文件不能详细列明采购需求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widowControl/>
        <w:adjustRightInd w:val="0"/>
        <w:snapToGrid w:val="0"/>
        <w:spacing w:line="360" w:lineRule="auto"/>
        <w:ind w:firstLine="42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30.3</w:t>
      </w:r>
      <w:r>
        <w:rPr>
          <w:rFonts w:hint="eastAsia" w:ascii="仿宋_GB2312" w:hAnsi="仿宋_GB2312" w:eastAsia="仿宋_GB2312" w:cs="仿宋_GB2312"/>
          <w:bCs/>
          <w:color w:val="auto"/>
          <w:highlight w:val="none"/>
        </w:rPr>
        <w:t>重</w:t>
      </w:r>
      <w:r>
        <w:rPr>
          <w:rFonts w:hint="eastAsia" w:ascii="仿宋_GB2312" w:hAnsi="仿宋_GB2312" w:eastAsia="仿宋_GB2312" w:cs="仿宋_GB2312"/>
          <w:color w:val="auto"/>
          <w:kern w:val="0"/>
          <w:highlight w:val="none"/>
        </w:rPr>
        <w:t>新提交的响应文件</w:t>
      </w:r>
      <w:r>
        <w:rPr>
          <w:rFonts w:hint="eastAsia" w:ascii="仿宋_GB2312" w:hAnsi="仿宋_GB2312" w:eastAsia="仿宋_GB2312" w:cs="仿宋_GB2312"/>
          <w:color w:val="auto"/>
          <w:highlight w:val="none"/>
        </w:rPr>
        <w:t>或者最后报价应按</w:t>
      </w:r>
      <w:r>
        <w:rPr>
          <w:rFonts w:hint="eastAsia" w:ascii="仿宋_GB2312" w:hAnsi="仿宋_GB2312" w:eastAsia="仿宋_GB2312" w:cs="仿宋_GB2312"/>
          <w:color w:val="auto"/>
          <w:kern w:val="0"/>
          <w:szCs w:val="21"/>
          <w:highlight w:val="none"/>
        </w:rPr>
        <w:t>本章第</w:t>
      </w:r>
      <w:r>
        <w:rPr>
          <w:rFonts w:hint="eastAsia" w:ascii="仿宋_GB2312" w:hAnsi="仿宋_GB2312" w:eastAsia="仿宋_GB2312" w:cs="仿宋_GB2312"/>
          <w:color w:val="auto"/>
          <w:highlight w:val="none"/>
        </w:rPr>
        <w:t>21.3</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highlight w:val="none"/>
        </w:rPr>
        <w:t>规定，</w:t>
      </w:r>
      <w:r>
        <w:rPr>
          <w:rFonts w:hint="eastAsia" w:ascii="仿宋_GB2312" w:hAnsi="仿宋_GB2312" w:eastAsia="仿宋_GB2312" w:cs="仿宋_GB2312"/>
          <w:color w:val="auto"/>
          <w:kern w:val="0"/>
          <w:szCs w:val="21"/>
          <w:highlight w:val="none"/>
        </w:rPr>
        <w:t>由其法定代表人或其委托代理人签字或者加盖</w:t>
      </w:r>
      <w:r>
        <w:rPr>
          <w:rFonts w:hint="eastAsia" w:ascii="仿宋_GB2312" w:hAnsi="仿宋_GB2312" w:eastAsia="仿宋_GB2312" w:cs="仿宋_GB2312"/>
          <w:color w:val="auto"/>
          <w:kern w:val="0"/>
          <w:highlight w:val="none"/>
        </w:rPr>
        <w:t>供应商单位</w:t>
      </w:r>
      <w:r>
        <w:rPr>
          <w:rFonts w:hint="eastAsia" w:ascii="仿宋_GB2312" w:hAnsi="仿宋_GB2312" w:eastAsia="仿宋_GB2312" w:cs="仿宋_GB2312"/>
          <w:color w:val="auto"/>
          <w:kern w:val="0"/>
          <w:szCs w:val="21"/>
          <w:highlight w:val="none"/>
        </w:rPr>
        <w:t>章，在规定时间内密封递交给磋商小组</w:t>
      </w:r>
      <w:r>
        <w:rPr>
          <w:rFonts w:hint="eastAsia" w:ascii="仿宋_GB2312" w:hAnsi="仿宋_GB2312" w:eastAsia="仿宋_GB2312" w:cs="仿宋_GB2312"/>
          <w:bCs/>
          <w:color w:val="auto"/>
          <w:szCs w:val="21"/>
          <w:highlight w:val="none"/>
        </w:rPr>
        <w:t>。</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30.4</w:t>
      </w:r>
      <w:r>
        <w:rPr>
          <w:rFonts w:hint="eastAsia" w:ascii="仿宋_GB2312" w:hAnsi="仿宋_GB2312" w:eastAsia="仿宋_GB2312" w:cs="仿宋_GB2312"/>
          <w:color w:val="auto"/>
          <w:kern w:val="0"/>
          <w:szCs w:val="21"/>
          <w:highlight w:val="none"/>
          <w:lang w:val="zh-CN"/>
        </w:rPr>
        <w:t>供应商的</w:t>
      </w:r>
      <w:r>
        <w:rPr>
          <w:rFonts w:hint="eastAsia" w:ascii="仿宋_GB2312" w:hAnsi="仿宋_GB2312" w:eastAsia="仿宋_GB2312" w:cs="仿宋_GB2312"/>
          <w:bCs/>
          <w:color w:val="auto"/>
          <w:szCs w:val="21"/>
          <w:highlight w:val="none"/>
        </w:rPr>
        <w:t>最</w:t>
      </w:r>
      <w:r>
        <w:rPr>
          <w:rFonts w:hint="eastAsia" w:ascii="仿宋_GB2312" w:hAnsi="仿宋_GB2312" w:eastAsia="仿宋_GB2312" w:cs="仿宋_GB2312"/>
          <w:color w:val="auto"/>
          <w:kern w:val="0"/>
          <w:szCs w:val="21"/>
          <w:highlight w:val="none"/>
          <w:lang w:val="zh-CN"/>
        </w:rPr>
        <w:t>后</w:t>
      </w:r>
      <w:r>
        <w:rPr>
          <w:rFonts w:hint="eastAsia" w:ascii="仿宋_GB2312" w:hAnsi="仿宋_GB2312" w:eastAsia="仿宋_GB2312" w:cs="仿宋_GB2312"/>
          <w:bCs/>
          <w:color w:val="auto"/>
          <w:szCs w:val="21"/>
          <w:highlight w:val="none"/>
        </w:rPr>
        <w:t>报价及</w:t>
      </w:r>
      <w:r>
        <w:rPr>
          <w:rFonts w:hint="eastAsia" w:ascii="仿宋_GB2312" w:hAnsi="仿宋_GB2312" w:eastAsia="仿宋_GB2312" w:cs="仿宋_GB2312"/>
          <w:color w:val="auto"/>
          <w:kern w:val="0"/>
          <w:szCs w:val="21"/>
          <w:highlight w:val="none"/>
        </w:rPr>
        <w:t>政府采购政策规定的价格扣除情况，磋商小组应召集所有参加最后报价的供应商当场开封</w:t>
      </w:r>
      <w:r>
        <w:rPr>
          <w:rFonts w:hint="eastAsia" w:ascii="仿宋_GB2312" w:hAnsi="仿宋_GB2312" w:eastAsia="仿宋_GB2312" w:cs="仿宋_GB2312"/>
          <w:bCs/>
          <w:color w:val="auto"/>
          <w:szCs w:val="21"/>
          <w:highlight w:val="none"/>
        </w:rPr>
        <w:t>公布，并由供应商代表签字确认。</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30.5提交首次响应文件的供应商，在提交最后报价之前，可以根据磋商情况退出磋商，</w:t>
      </w:r>
      <w:r>
        <w:rPr>
          <w:rFonts w:hint="eastAsia" w:ascii="仿宋_GB2312" w:hAnsi="仿宋_GB2312" w:eastAsia="仿宋_GB2312" w:cs="仿宋_GB2312"/>
          <w:color w:val="auto"/>
          <w:kern w:val="0"/>
          <w:highlight w:val="none"/>
        </w:rPr>
        <w:t>并书面通知采购代理机构或者磋商小组。</w:t>
      </w:r>
      <w:r>
        <w:rPr>
          <w:rFonts w:hint="eastAsia" w:ascii="仿宋_GB2312" w:hAnsi="仿宋_GB2312" w:eastAsia="仿宋_GB2312" w:cs="仿宋_GB2312"/>
          <w:color w:val="auto"/>
          <w:highlight w:val="none"/>
        </w:rPr>
        <w:t>该通知由供应商法定代表人或其委托代理人签字。</w:t>
      </w:r>
      <w:r>
        <w:rPr>
          <w:rFonts w:hint="eastAsia" w:ascii="仿宋_GB2312" w:hAnsi="仿宋_GB2312" w:eastAsia="仿宋_GB2312" w:cs="仿宋_GB2312"/>
          <w:color w:val="auto"/>
          <w:kern w:val="0"/>
          <w:szCs w:val="21"/>
          <w:highlight w:val="none"/>
        </w:rPr>
        <w:t>采购代理机构</w:t>
      </w:r>
      <w:r>
        <w:rPr>
          <w:rFonts w:hint="eastAsia" w:ascii="仿宋_GB2312" w:hAnsi="仿宋_GB2312" w:eastAsia="仿宋_GB2312" w:cs="仿宋_GB2312"/>
          <w:color w:val="auto"/>
          <w:kern w:val="0"/>
          <w:highlight w:val="none"/>
        </w:rPr>
        <w:t>按</w:t>
      </w:r>
      <w:r>
        <w:rPr>
          <w:rFonts w:hint="eastAsia" w:ascii="仿宋_GB2312" w:hAnsi="仿宋_GB2312" w:eastAsia="仿宋_GB2312" w:cs="仿宋_GB2312"/>
          <w:color w:val="auto"/>
          <w:kern w:val="0"/>
          <w:szCs w:val="21"/>
          <w:highlight w:val="none"/>
        </w:rPr>
        <w:t>本章第</w:t>
      </w:r>
      <w:r>
        <w:rPr>
          <w:rFonts w:hint="eastAsia" w:ascii="仿宋_GB2312" w:hAnsi="仿宋_GB2312" w:eastAsia="仿宋_GB2312" w:cs="仿宋_GB2312"/>
          <w:color w:val="auto"/>
          <w:highlight w:val="none"/>
        </w:rPr>
        <w:t>19.4</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highlight w:val="none"/>
        </w:rPr>
        <w:t>规定</w:t>
      </w:r>
      <w:r>
        <w:rPr>
          <w:rFonts w:hint="eastAsia" w:ascii="仿宋_GB2312" w:hAnsi="仿宋_GB2312" w:eastAsia="仿宋_GB2312" w:cs="仿宋_GB2312"/>
          <w:color w:val="auto"/>
          <w:kern w:val="0"/>
          <w:szCs w:val="21"/>
          <w:highlight w:val="none"/>
        </w:rPr>
        <w:t>退还退出磋商的供应商的磋商保证金。</w:t>
      </w:r>
    </w:p>
    <w:p>
      <w:pPr>
        <w:adjustRightInd w:val="0"/>
        <w:snapToGrid w:val="0"/>
        <w:spacing w:line="360" w:lineRule="auto"/>
        <w:ind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bCs/>
          <w:color w:val="auto"/>
          <w:szCs w:val="21"/>
          <w:highlight w:val="none"/>
        </w:rPr>
        <w:t>30.6</w:t>
      </w:r>
      <w:r>
        <w:rPr>
          <w:rFonts w:hint="eastAsia" w:ascii="仿宋_GB2312" w:hAnsi="仿宋_GB2312" w:eastAsia="仿宋_GB2312" w:cs="仿宋_GB2312"/>
          <w:color w:val="auto"/>
          <w:kern w:val="0"/>
          <w:szCs w:val="21"/>
          <w:highlight w:val="none"/>
        </w:rPr>
        <w:t>提交首次响应文件的供应商，未按磋商文件规定及磋商小组要求提交最后报价(或者</w:t>
      </w:r>
      <w:r>
        <w:rPr>
          <w:rFonts w:hint="eastAsia" w:ascii="仿宋_GB2312" w:hAnsi="仿宋_GB2312" w:eastAsia="仿宋_GB2312" w:cs="仿宋_GB2312"/>
          <w:bCs/>
          <w:color w:val="auto"/>
          <w:szCs w:val="21"/>
          <w:highlight w:val="none"/>
        </w:rPr>
        <w:t>重</w:t>
      </w:r>
      <w:r>
        <w:rPr>
          <w:rFonts w:hint="eastAsia" w:ascii="仿宋_GB2312" w:hAnsi="仿宋_GB2312" w:eastAsia="仿宋_GB2312" w:cs="仿宋_GB2312"/>
          <w:color w:val="auto"/>
          <w:kern w:val="0"/>
          <w:szCs w:val="21"/>
          <w:highlight w:val="none"/>
        </w:rPr>
        <w:t>新提交的响应文件和最后报价)，且又</w:t>
      </w:r>
      <w:r>
        <w:rPr>
          <w:rFonts w:hint="eastAsia" w:ascii="仿宋_GB2312" w:hAnsi="仿宋_GB2312" w:eastAsia="仿宋_GB2312" w:cs="仿宋_GB2312"/>
          <w:color w:val="auto"/>
          <w:kern w:val="0"/>
          <w:highlight w:val="none"/>
        </w:rPr>
        <w:t>未按</w:t>
      </w:r>
      <w:r>
        <w:rPr>
          <w:rFonts w:hint="eastAsia" w:ascii="仿宋_GB2312" w:hAnsi="仿宋_GB2312" w:eastAsia="仿宋_GB2312" w:cs="仿宋_GB2312"/>
          <w:color w:val="auto"/>
          <w:kern w:val="0"/>
          <w:szCs w:val="21"/>
          <w:highlight w:val="none"/>
        </w:rPr>
        <w:t>本章第</w:t>
      </w:r>
      <w:r>
        <w:rPr>
          <w:rFonts w:hint="eastAsia" w:ascii="仿宋_GB2312" w:hAnsi="仿宋_GB2312" w:eastAsia="仿宋_GB2312" w:cs="仿宋_GB2312"/>
          <w:color w:val="auto"/>
          <w:highlight w:val="none"/>
        </w:rPr>
        <w:t>30.5</w:t>
      </w:r>
      <w:r>
        <w:rPr>
          <w:rFonts w:hint="eastAsia" w:ascii="仿宋_GB2312" w:hAnsi="仿宋_GB2312" w:eastAsia="仿宋_GB2312" w:cs="仿宋_GB2312"/>
          <w:color w:val="auto"/>
          <w:kern w:val="0"/>
          <w:szCs w:val="21"/>
          <w:highlight w:val="none"/>
          <w:lang w:val="zh-CN"/>
        </w:rPr>
        <w:t>款</w:t>
      </w:r>
      <w:r>
        <w:rPr>
          <w:rFonts w:hint="eastAsia" w:ascii="仿宋_GB2312" w:hAnsi="仿宋_GB2312" w:eastAsia="仿宋_GB2312" w:cs="仿宋_GB2312"/>
          <w:color w:val="auto"/>
          <w:highlight w:val="none"/>
        </w:rPr>
        <w:t>规定</w:t>
      </w:r>
      <w:r>
        <w:rPr>
          <w:rFonts w:hint="eastAsia" w:ascii="仿宋_GB2312" w:hAnsi="仿宋_GB2312" w:eastAsia="仿宋_GB2312" w:cs="仿宋_GB2312"/>
          <w:color w:val="auto"/>
          <w:kern w:val="0"/>
          <w:szCs w:val="21"/>
          <w:highlight w:val="none"/>
        </w:rPr>
        <w:t>退出磋商的，供应商的磋商保证金不予退还。</w:t>
      </w:r>
    </w:p>
    <w:p>
      <w:pPr>
        <w:adjustRightInd w:val="0"/>
        <w:snapToGrid w:val="0"/>
        <w:spacing w:line="360" w:lineRule="auto"/>
        <w:ind w:firstLine="420" w:firstLineChars="200"/>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30.7磋商文件在磋商过程中未发生实质性变动的，参加磋商供应商的次轮报价不得高于上轮报价，否则视为无效响应。</w:t>
      </w:r>
    </w:p>
    <w:p>
      <w:pPr>
        <w:widowControl/>
        <w:adjustRightInd w:val="0"/>
        <w:snapToGrid w:val="0"/>
        <w:spacing w:line="360" w:lineRule="auto"/>
        <w:jc w:val="left"/>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color w:val="auto"/>
          <w:kern w:val="0"/>
          <w:szCs w:val="21"/>
          <w:highlight w:val="none"/>
        </w:rPr>
        <w:t>31.响应文件评审</w:t>
      </w:r>
    </w:p>
    <w:p>
      <w:pPr>
        <w:widowControl/>
        <w:adjustRightInd w:val="0"/>
        <w:snapToGrid w:val="0"/>
        <w:spacing w:line="360" w:lineRule="auto"/>
        <w:ind w:firstLine="420" w:firstLineChars="20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31.1经磋商确定最终采购需求和提交最后报价的供应商后，由磋商小组采用综合评分法对提交最后报价的供应商的响应文件和最后报价进行综合评价。</w:t>
      </w:r>
    </w:p>
    <w:p>
      <w:pPr>
        <w:widowControl/>
        <w:adjustRightInd w:val="0"/>
        <w:snapToGrid w:val="0"/>
        <w:spacing w:line="360" w:lineRule="auto"/>
        <w:ind w:firstLine="420" w:firstLineChars="20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31.2综合评分法，是指响应文件满足磋商文件全部实质性要求且按评审因素的量化指标评审得分最高的供应商为成交候选供应商的评审方法。本采购项目的评审因素和标准见</w:t>
      </w:r>
      <w:r>
        <w:rPr>
          <w:rFonts w:hint="eastAsia" w:ascii="仿宋_GB2312" w:hAnsi="仿宋_GB2312" w:eastAsia="仿宋_GB2312" w:cs="仿宋_GB2312"/>
          <w:b/>
          <w:bCs/>
          <w:color w:val="auto"/>
          <w:szCs w:val="21"/>
          <w:highlight w:val="none"/>
        </w:rPr>
        <w:t>磋商须知前附表。</w:t>
      </w:r>
    </w:p>
    <w:p>
      <w:pPr>
        <w:widowControl/>
        <w:adjustRightInd w:val="0"/>
        <w:snapToGrid w:val="0"/>
        <w:spacing w:beforeLines="50" w:line="360" w:lineRule="auto"/>
        <w:ind w:firstLine="420" w:firstLineChars="20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color w:val="auto"/>
          <w:kern w:val="0"/>
          <w:szCs w:val="21"/>
          <w:highlight w:val="none"/>
        </w:rPr>
        <w:t>31.3</w:t>
      </w:r>
      <w:r>
        <w:rPr>
          <w:rFonts w:hint="eastAsia" w:ascii="仿宋_GB2312" w:hAnsi="仿宋_GB2312" w:eastAsia="仿宋_GB2312" w:cs="仿宋_GB2312"/>
          <w:color w:val="auto"/>
          <w:szCs w:val="21"/>
          <w:highlight w:val="none"/>
        </w:rPr>
        <w:t>最后报价调整。磋商小组以各供应商最后报价为基础，按照符合政府采购支持中小企业发展的相应条件，对供应商的最后报价进行价格扣除，用扣除后的最后报价计算价格得分，具体价格扣除比例见</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31.4综</w:t>
      </w:r>
      <w:r>
        <w:rPr>
          <w:rFonts w:hint="eastAsia" w:ascii="仿宋_GB2312" w:hAnsi="仿宋_GB2312" w:eastAsia="仿宋_GB2312" w:cs="仿宋_GB2312"/>
          <w:color w:val="auto"/>
          <w:spacing w:val="-4"/>
          <w:kern w:val="0"/>
          <w:szCs w:val="21"/>
          <w:highlight w:val="none"/>
        </w:rPr>
        <w:t>合评分法中的价格分采用低价优先法计算，即满足磋商文件要求且经调整后的最后报价最低的供应商的价格为磋商基准价，其价格分为满分。其他供应商的价格分按照下列公式计算：</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磋商报价得分=（磋商基准价/最后磋商报价）×价格权值</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项目评审过程中，不得去掉最后报价中的最高报价和最低报价。</w:t>
      </w:r>
    </w:p>
    <w:p>
      <w:pPr>
        <w:widowControl/>
        <w:adjustRightInd w:val="0"/>
        <w:snapToGrid w:val="0"/>
        <w:spacing w:beforeLines="50"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bCs/>
          <w:color w:val="auto"/>
          <w:szCs w:val="21"/>
          <w:highlight w:val="none"/>
        </w:rPr>
        <w:t>31.5</w:t>
      </w:r>
      <w:r>
        <w:rPr>
          <w:rFonts w:hint="eastAsia" w:ascii="仿宋_GB2312" w:hAnsi="仿宋_GB2312" w:eastAsia="仿宋_GB2312" w:cs="仿宋_GB2312"/>
          <w:color w:val="auto"/>
          <w:szCs w:val="21"/>
          <w:highlight w:val="none"/>
        </w:rPr>
        <w:t>涉及政府采购政策优惠对供应商分值进行调整的，</w:t>
      </w:r>
      <w:r>
        <w:rPr>
          <w:rFonts w:hint="eastAsia" w:ascii="仿宋_GB2312" w:hAnsi="仿宋_GB2312" w:eastAsia="仿宋_GB2312" w:cs="仿宋_GB2312"/>
          <w:bCs/>
          <w:color w:val="auto"/>
          <w:szCs w:val="21"/>
          <w:highlight w:val="none"/>
        </w:rPr>
        <w:t>按</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bCs/>
          <w:color w:val="auto"/>
          <w:szCs w:val="21"/>
          <w:highlight w:val="none"/>
        </w:rPr>
        <w:t>规定</w:t>
      </w:r>
      <w:r>
        <w:rPr>
          <w:rFonts w:hint="eastAsia" w:ascii="仿宋_GB2312" w:hAnsi="仿宋_GB2312" w:eastAsia="仿宋_GB2312" w:cs="仿宋_GB2312"/>
          <w:color w:val="auto"/>
          <w:szCs w:val="21"/>
          <w:highlight w:val="none"/>
        </w:rPr>
        <w:t>调整供应商的技术、商务、价格</w:t>
      </w:r>
      <w:r>
        <w:rPr>
          <w:rFonts w:hint="eastAsia" w:ascii="仿宋_GB2312" w:hAnsi="仿宋_GB2312" w:eastAsia="仿宋_GB2312" w:cs="仿宋_GB2312"/>
          <w:color w:val="auto"/>
          <w:kern w:val="0"/>
          <w:szCs w:val="21"/>
          <w:highlight w:val="none"/>
        </w:rPr>
        <w:t>得分或总得分</w:t>
      </w:r>
      <w:r>
        <w:rPr>
          <w:rFonts w:hint="eastAsia" w:ascii="仿宋_GB2312" w:hAnsi="仿宋_GB2312" w:eastAsia="仿宋_GB2312" w:cs="仿宋_GB2312"/>
          <w:color w:val="auto"/>
          <w:szCs w:val="21"/>
          <w:highlight w:val="none"/>
        </w:rPr>
        <w:t>。</w:t>
      </w:r>
    </w:p>
    <w:p>
      <w:pPr>
        <w:adjustRightInd w:val="0"/>
        <w:snapToGrid w:val="0"/>
        <w:spacing w:beforeLines="50"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31.6涉及多处或部分获得政府采购政策优惠的，其多处或部分享受政府采购优惠政策的计算方法见</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相关规定。</w:t>
      </w:r>
    </w:p>
    <w:p>
      <w:pPr>
        <w:widowControl/>
        <w:adjustRightInd w:val="0"/>
        <w:snapToGrid w:val="0"/>
        <w:spacing w:beforeLines="50" w:line="360"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rPr>
        <w:t>31.7</w:t>
      </w:r>
      <w:r>
        <w:rPr>
          <w:rFonts w:hint="eastAsia" w:ascii="仿宋_GB2312" w:hAnsi="仿宋_GB2312" w:eastAsia="仿宋_GB2312" w:cs="仿宋_GB2312"/>
          <w:color w:val="auto"/>
          <w:szCs w:val="21"/>
          <w:highlight w:val="none"/>
        </w:rPr>
        <w:t>评审</w:t>
      </w:r>
      <w:r>
        <w:rPr>
          <w:rFonts w:hint="eastAsia" w:ascii="仿宋_GB2312" w:hAnsi="仿宋_GB2312" w:eastAsia="仿宋_GB2312" w:cs="仿宋_GB2312"/>
          <w:color w:val="auto"/>
          <w:spacing w:val="-4"/>
          <w:szCs w:val="21"/>
          <w:highlight w:val="none"/>
        </w:rPr>
        <w:t>时，磋商小组各成员应当独立对每个供应商的</w:t>
      </w:r>
      <w:r>
        <w:rPr>
          <w:rFonts w:hint="eastAsia" w:ascii="仿宋_GB2312" w:hAnsi="仿宋_GB2312" w:eastAsia="仿宋_GB2312" w:cs="仿宋_GB2312"/>
          <w:bCs/>
          <w:color w:val="auto"/>
          <w:spacing w:val="-4"/>
          <w:szCs w:val="21"/>
          <w:highlight w:val="none"/>
        </w:rPr>
        <w:t>响应文件</w:t>
      </w:r>
      <w:r>
        <w:rPr>
          <w:rFonts w:hint="eastAsia" w:ascii="仿宋_GB2312" w:hAnsi="仿宋_GB2312" w:eastAsia="仿宋_GB2312" w:cs="仿宋_GB2312"/>
          <w:color w:val="auto"/>
          <w:spacing w:val="-4"/>
          <w:szCs w:val="21"/>
          <w:highlight w:val="none"/>
        </w:rPr>
        <w:t>进行评价、评分，并按照政府采购优惠政策</w:t>
      </w:r>
      <w:r>
        <w:rPr>
          <w:rFonts w:hint="eastAsia" w:ascii="仿宋_GB2312" w:hAnsi="仿宋_GB2312" w:eastAsia="仿宋_GB2312" w:cs="仿宋_GB2312"/>
          <w:color w:val="auto"/>
          <w:szCs w:val="21"/>
          <w:highlight w:val="none"/>
        </w:rPr>
        <w:t>对最后报价进行价格扣除和技术、商务、价格加分后，汇总各供应商的总得分。</w:t>
      </w:r>
    </w:p>
    <w:p>
      <w:pPr>
        <w:widowControl/>
        <w:adjustRightInd w:val="0"/>
        <w:snapToGrid w:val="0"/>
        <w:spacing w:line="360" w:lineRule="auto"/>
        <w:jc w:val="left"/>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32</w:t>
      </w:r>
      <w:r>
        <w:rPr>
          <w:rFonts w:hint="eastAsia" w:ascii="仿宋_GB2312" w:hAnsi="仿宋_GB2312" w:eastAsia="仿宋_GB2312" w:cs="仿宋_GB2312"/>
          <w:b/>
          <w:color w:val="auto"/>
          <w:kern w:val="0"/>
          <w:szCs w:val="21"/>
          <w:highlight w:val="none"/>
        </w:rPr>
        <w:t>.</w:t>
      </w:r>
      <w:r>
        <w:rPr>
          <w:rFonts w:hint="eastAsia" w:ascii="仿宋_GB2312" w:hAnsi="仿宋_GB2312" w:eastAsia="仿宋_GB2312" w:cs="仿宋_GB2312"/>
          <w:b/>
          <w:bCs/>
          <w:color w:val="auto"/>
          <w:szCs w:val="21"/>
          <w:highlight w:val="none"/>
        </w:rPr>
        <w:t>提出成交供应商</w:t>
      </w:r>
    </w:p>
    <w:p>
      <w:pPr>
        <w:widowControl/>
        <w:adjustRightInd w:val="0"/>
        <w:snapToGrid w:val="0"/>
        <w:spacing w:beforeLines="50"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32.1磋商小组应当根据综合评分情况，按照评审得分由高到低顺序推荐3名以上成交候选供应商，并编写评审报告。评审得分相同的，按照最后报价由低到高的顺序推荐。评审得分且最后报价相同的，按照技术指标优劣顺序推荐。符合《政府采购竞争性磋商采购方式管理暂行办法》(财库〔2014〕214号)和《财政部关于政府采购竞争性磋商采购方式管理暂行办法有关问题的补充通知》（财库〔2015〕124号）所列“政府购买服务项目（含政府和社会资本合作项目）、市场竞争不充分的科研项目以及需要扶持的科技成果转化项目”情形的，可以推荐2家成交候选供应商。</w:t>
      </w:r>
    </w:p>
    <w:p>
      <w:pPr>
        <w:tabs>
          <w:tab w:val="left" w:pos="0"/>
        </w:tabs>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33.确定成交供应商</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33.1采购代理机构应当在评审结束后2个工作日内将评审报告送采购人确认。</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33.2采购人应当在收到评审报告后5个工作日内，从评审报告提出的成交候选供应商中，按照排序由高到低的原则确定成交供应商，也可以书面授权磋商小组直接确定成交供应商。</w:t>
      </w:r>
    </w:p>
    <w:p>
      <w:pPr>
        <w:pStyle w:val="9"/>
        <w:adjustRightInd w:val="0"/>
        <w:snapToGrid w:val="0"/>
        <w:spacing w:line="360" w:lineRule="auto"/>
        <w:ind w:left="31680" w:hanging="632" w:hangingChars="300"/>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34.磋商终止</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bCs/>
          <w:color w:val="auto"/>
          <w:szCs w:val="21"/>
          <w:highlight w:val="none"/>
        </w:rPr>
        <w:t>34.1</w:t>
      </w:r>
      <w:r>
        <w:rPr>
          <w:rFonts w:hint="eastAsia" w:ascii="仿宋_GB2312" w:hAnsi="仿宋_GB2312" w:eastAsia="仿宋_GB2312" w:cs="仿宋_GB2312"/>
          <w:color w:val="auto"/>
          <w:kern w:val="0"/>
          <w:szCs w:val="21"/>
          <w:highlight w:val="none"/>
        </w:rPr>
        <w:t>出现下列情形之一的，采购人或者采购代理机构应当终止竞争性磋商采购活动，</w:t>
      </w:r>
      <w:r>
        <w:rPr>
          <w:rFonts w:hint="eastAsia" w:ascii="仿宋_GB2312" w:hAnsi="仿宋_GB2312" w:eastAsia="仿宋_GB2312" w:cs="仿宋_GB2312"/>
          <w:color w:val="auto"/>
          <w:highlight w:val="none"/>
        </w:rPr>
        <w:t>在本章第37.1款指定的媒体上</w:t>
      </w:r>
      <w:r>
        <w:rPr>
          <w:rFonts w:hint="eastAsia" w:ascii="仿宋_GB2312" w:hAnsi="仿宋_GB2312" w:eastAsia="仿宋_GB2312" w:cs="仿宋_GB2312"/>
          <w:color w:val="auto"/>
          <w:kern w:val="0"/>
          <w:szCs w:val="21"/>
          <w:highlight w:val="none"/>
        </w:rPr>
        <w:t xml:space="preserve">发布项目终止公告并说明原因，重新开展采购活动： </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（1）因情况变化，不再符合规定的竞争性磋商采购方式适用情形的；</w:t>
      </w:r>
    </w:p>
    <w:p>
      <w:pPr>
        <w:widowControl/>
        <w:adjustRightInd w:val="0"/>
        <w:snapToGrid w:val="0"/>
        <w:spacing w:line="360" w:lineRule="auto"/>
        <w:ind w:firstLine="42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（2）出现影响采购公正的违法、违规行为的；</w:t>
      </w:r>
    </w:p>
    <w:p>
      <w:pPr>
        <w:widowControl/>
        <w:adjustRightInd w:val="0"/>
        <w:snapToGrid w:val="0"/>
        <w:spacing w:line="360" w:lineRule="auto"/>
        <w:ind w:firstLine="42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color w:val="auto"/>
          <w:kern w:val="0"/>
          <w:szCs w:val="21"/>
          <w:highlight w:val="none"/>
        </w:rPr>
        <w:t>（3）</w:t>
      </w:r>
      <w:r>
        <w:rPr>
          <w:rFonts w:hint="eastAsia" w:ascii="仿宋_GB2312" w:hAnsi="仿宋_GB2312" w:eastAsia="仿宋_GB2312" w:cs="仿宋_GB2312"/>
          <w:bCs/>
          <w:color w:val="auto"/>
          <w:szCs w:val="21"/>
          <w:highlight w:val="none"/>
        </w:rPr>
        <w:t>除《政府采购竞争性磋商采购方式管理暂行办法》(财库〔2014〕214号)</w:t>
      </w:r>
      <w:r>
        <w:rPr>
          <w:rFonts w:hint="eastAsia" w:ascii="仿宋_GB2312" w:hAnsi="仿宋_GB2312" w:eastAsia="仿宋_GB2312" w:cs="仿宋_GB2312"/>
          <w:color w:val="auto"/>
          <w:kern w:val="0"/>
          <w:szCs w:val="21"/>
          <w:highlight w:val="none"/>
        </w:rPr>
        <w:t xml:space="preserve"> 和《财政部关于政府采购竞争性磋商采购方式管理暂行办法有关问题的补充通知》（财库〔2015〕124号）所列“政府购买服务项目（含政府和社会资本合作项目）、市场竞争不充分的科研项目以及需要扶持的科技成果转化项目”</w:t>
      </w:r>
      <w:r>
        <w:rPr>
          <w:rFonts w:hint="eastAsia" w:ascii="仿宋_GB2312" w:hAnsi="仿宋_GB2312" w:eastAsia="仿宋_GB2312" w:cs="仿宋_GB2312"/>
          <w:bCs/>
          <w:color w:val="auto"/>
          <w:szCs w:val="21"/>
          <w:highlight w:val="none"/>
        </w:rPr>
        <w:t>情形外，在采购过程中符合要求的供应商或者报价未超过采购预算的供应商不足3家的；</w:t>
      </w:r>
    </w:p>
    <w:p>
      <w:pPr>
        <w:widowControl/>
        <w:adjustRightInd w:val="0"/>
        <w:snapToGrid w:val="0"/>
        <w:spacing w:line="360" w:lineRule="auto"/>
        <w:ind w:firstLine="420"/>
        <w:jc w:val="left"/>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color w:val="auto"/>
          <w:kern w:val="0"/>
          <w:szCs w:val="21"/>
          <w:highlight w:val="none"/>
        </w:rPr>
        <w:t>（4）因重大变故，采购任务取消的。</w:t>
      </w:r>
    </w:p>
    <w:p>
      <w:pPr>
        <w:widowControl/>
        <w:adjustRightInd w:val="0"/>
        <w:snapToGrid w:val="0"/>
        <w:spacing w:line="360" w:lineRule="auto"/>
        <w:jc w:val="left"/>
        <w:rPr>
          <w:rFonts w:hint="eastAsia" w:ascii="仿宋_GB2312" w:hAnsi="仿宋_GB2312" w:eastAsia="仿宋_GB2312" w:cs="仿宋_GB2312"/>
          <w:b/>
          <w:color w:val="auto"/>
          <w:kern w:val="0"/>
          <w:szCs w:val="21"/>
          <w:highlight w:val="none"/>
        </w:rPr>
      </w:pPr>
      <w:r>
        <w:rPr>
          <w:rFonts w:hint="eastAsia" w:ascii="仿宋_GB2312" w:hAnsi="仿宋_GB2312" w:eastAsia="仿宋_GB2312" w:cs="仿宋_GB2312"/>
          <w:b/>
          <w:color w:val="auto"/>
          <w:kern w:val="0"/>
          <w:szCs w:val="21"/>
          <w:highlight w:val="none"/>
        </w:rPr>
        <w:t>35．重新评审</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35.1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w:t>
      </w:r>
    </w:p>
    <w:p>
      <w:pPr>
        <w:adjustRightInd w:val="0"/>
        <w:snapToGrid w:val="0"/>
        <w:spacing w:line="360"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36.保密及串通行为</w:t>
      </w:r>
    </w:p>
    <w:p>
      <w:pPr>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36.1磋商小组成员以及与评审工作有关的人员不得泄露评审情况以及评审过程中获悉的国家秘密、商业秘密。</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36.2</w:t>
      </w:r>
      <w:r>
        <w:rPr>
          <w:rFonts w:hint="eastAsia" w:ascii="仿宋_GB2312" w:hAnsi="仿宋_GB2312" w:eastAsia="仿宋_GB2312" w:cs="仿宋_GB2312"/>
          <w:color w:val="auto"/>
          <w:kern w:val="0"/>
          <w:szCs w:val="21"/>
          <w:highlight w:val="none"/>
        </w:rPr>
        <w:t>供应商</w:t>
      </w:r>
      <w:r>
        <w:rPr>
          <w:rFonts w:hint="eastAsia" w:ascii="仿宋_GB2312" w:hAnsi="仿宋_GB2312" w:eastAsia="仿宋_GB2312" w:cs="仿宋_GB2312"/>
          <w:color w:val="auto"/>
          <w:szCs w:val="21"/>
          <w:highlight w:val="none"/>
        </w:rPr>
        <w:t>不得与</w:t>
      </w:r>
      <w:r>
        <w:rPr>
          <w:rFonts w:hint="eastAsia" w:ascii="仿宋_GB2312" w:hAnsi="仿宋_GB2312" w:eastAsia="仿宋_GB2312" w:cs="仿宋_GB2312"/>
          <w:color w:val="auto"/>
          <w:kern w:val="0"/>
          <w:szCs w:val="21"/>
          <w:highlight w:val="none"/>
        </w:rPr>
        <w:t>采购人、采购代理机构、其他供应商恶意</w:t>
      </w:r>
      <w:r>
        <w:rPr>
          <w:rFonts w:hint="eastAsia" w:ascii="仿宋_GB2312" w:hAnsi="仿宋_GB2312" w:eastAsia="仿宋_GB2312" w:cs="仿宋_GB2312"/>
          <w:color w:val="auto"/>
          <w:szCs w:val="21"/>
          <w:highlight w:val="none"/>
        </w:rPr>
        <w:t>串通；不得向</w:t>
      </w:r>
      <w:r>
        <w:rPr>
          <w:rFonts w:hint="eastAsia" w:ascii="仿宋_GB2312" w:hAnsi="仿宋_GB2312" w:eastAsia="仿宋_GB2312" w:cs="仿宋_GB2312"/>
          <w:color w:val="auto"/>
          <w:kern w:val="0"/>
          <w:szCs w:val="21"/>
          <w:highlight w:val="none"/>
        </w:rPr>
        <w:t>采购人、采购代理机构</w:t>
      </w:r>
      <w:r>
        <w:rPr>
          <w:rFonts w:hint="eastAsia" w:ascii="仿宋_GB2312" w:hAnsi="仿宋_GB2312" w:eastAsia="仿宋_GB2312" w:cs="仿宋_GB2312"/>
          <w:color w:val="auto"/>
          <w:szCs w:val="21"/>
          <w:highlight w:val="none"/>
        </w:rPr>
        <w:t>或者磋商小组成员行贿或者提供其他不正当利益；不得提供虚假资料谋取成交；不得以任何方式干扰、影响采购工作。</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rPr>
        <w:t>36.3</w:t>
      </w:r>
      <w:r>
        <w:rPr>
          <w:rFonts w:hint="eastAsia" w:ascii="仿宋_GB2312" w:hAnsi="仿宋_GB2312" w:eastAsia="仿宋_GB2312" w:cs="仿宋_GB2312"/>
          <w:color w:val="auto"/>
          <w:sz w:val="21"/>
          <w:szCs w:val="21"/>
          <w:highlight w:val="none"/>
          <w:lang w:val="zh-CN"/>
        </w:rPr>
        <w:t>有下列情形之一的，属于恶意串通，对供应商依照政府采购法第七十七条第一款的规定追究法律责任：</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（一）供应商直接或者间接从采购人或者采购代理机构处获得其他供应商的相关情况并修改其投标文件或者响应文件；</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（二）供应商按照采购人或者采购代理机构的授意撤换、修改投标文件或者响应文件；</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（三）供应商之间协商报价、技术方案等投标文件或者响应文件的实质性内容；</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（四）属</w:t>
      </w:r>
      <w:r>
        <w:rPr>
          <w:rFonts w:hint="eastAsia" w:ascii="仿宋_GB2312" w:hAnsi="仿宋_GB2312" w:eastAsia="仿宋_GB2312" w:cs="仿宋_GB2312"/>
          <w:color w:val="auto"/>
          <w:spacing w:val="-8"/>
          <w:sz w:val="21"/>
          <w:szCs w:val="21"/>
          <w:highlight w:val="none"/>
          <w:lang w:val="zh-CN"/>
        </w:rPr>
        <w:t>于同一集团、协会、商会等组织成员的供应商按照该组织要求协同参加政府采购活动；</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（五）供应商之间事先约定由某一特定供应商中标、成交；</w:t>
      </w:r>
    </w:p>
    <w:p>
      <w:pPr>
        <w:pStyle w:val="15"/>
        <w:adjustRightInd w:val="0"/>
        <w:snapToGrid w:val="0"/>
        <w:spacing w:before="0" w:beforeAutospacing="0" w:after="0" w:afterAutospacing="0" w:line="360"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（六）供应商之间商定部分供应商放弃参加政府采购活动或者放弃中标、成交；</w:t>
      </w:r>
    </w:p>
    <w:p>
      <w:pPr>
        <w:pStyle w:val="15"/>
        <w:adjustRightInd w:val="0"/>
        <w:snapToGrid w:val="0"/>
        <w:spacing w:before="0" w:beforeAutospacing="0" w:after="0" w:afterAutospacing="0" w:line="336" w:lineRule="auto"/>
        <w:ind w:firstLine="420" w:firstLineChars="200"/>
        <w:rPr>
          <w:rFonts w:hint="eastAsia" w:ascii="仿宋_GB2312" w:hAnsi="仿宋_GB2312" w:eastAsia="仿宋_GB2312" w:cs="仿宋_GB2312"/>
          <w:color w:val="auto"/>
          <w:sz w:val="21"/>
          <w:szCs w:val="21"/>
          <w:highlight w:val="none"/>
          <w:lang w:val="zh-CN"/>
        </w:rPr>
      </w:pPr>
      <w:r>
        <w:rPr>
          <w:rFonts w:hint="eastAsia" w:ascii="仿宋_GB2312" w:hAnsi="仿宋_GB2312" w:eastAsia="仿宋_GB2312" w:cs="仿宋_GB2312"/>
          <w:color w:val="auto"/>
          <w:sz w:val="21"/>
          <w:szCs w:val="21"/>
          <w:highlight w:val="none"/>
          <w:lang w:val="zh-CN"/>
        </w:rPr>
        <w:t>（七）供应商与采购人或者采购代理机构之间、供应商相互之间，为谋求特定供应商中标、成交或者排斥其他供应商的其他串通行为。</w:t>
      </w:r>
    </w:p>
    <w:p>
      <w:pPr>
        <w:adjustRightInd w:val="0"/>
        <w:snapToGrid w:val="0"/>
        <w:spacing w:line="336"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六、成交结果信息公布与授予合同</w:t>
      </w:r>
    </w:p>
    <w:p>
      <w:pPr>
        <w:adjustRightInd w:val="0"/>
        <w:snapToGrid w:val="0"/>
        <w:spacing w:line="336"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37.成交信息的公布</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37.1成交供应商确定后2个工作日内，成交结果信息将在</w:t>
      </w:r>
      <w:r>
        <w:rPr>
          <w:rFonts w:hint="eastAsia" w:ascii="仿宋_GB2312" w:hAnsi="仿宋_GB2312" w:eastAsia="仿宋_GB2312" w:cs="仿宋_GB2312"/>
          <w:b/>
          <w:color w:val="auto"/>
          <w:highlight w:val="none"/>
        </w:rPr>
        <w:t>磋商须知前附表</w:t>
      </w:r>
      <w:r>
        <w:rPr>
          <w:rFonts w:hint="eastAsia" w:ascii="仿宋_GB2312" w:hAnsi="仿宋_GB2312" w:eastAsia="仿宋_GB2312" w:cs="仿宋_GB2312"/>
          <w:color w:val="auto"/>
          <w:highlight w:val="none"/>
        </w:rPr>
        <w:t>指定的媒体上公布。</w:t>
      </w:r>
    </w:p>
    <w:p>
      <w:pPr>
        <w:adjustRightInd w:val="0"/>
        <w:snapToGrid w:val="0"/>
        <w:spacing w:line="336"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38.询问及质疑</w:t>
      </w:r>
    </w:p>
    <w:p>
      <w:pPr>
        <w:adjustRightInd w:val="0"/>
        <w:snapToGrid w:val="0"/>
        <w:spacing w:line="336" w:lineRule="auto"/>
        <w:ind w:firstLine="42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1"/>
          <w:highlight w:val="none"/>
        </w:rPr>
        <w:t>38.1供应商对政府采购活动事项有疑问的，可以向采购人或采购代理机构提出询问。</w:t>
      </w:r>
    </w:p>
    <w:p>
      <w:pPr>
        <w:adjustRightInd w:val="0"/>
        <w:snapToGrid w:val="0"/>
        <w:spacing w:line="336" w:lineRule="auto"/>
        <w:ind w:firstLine="420" w:firstLineChars="20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38.2供应商若认为磋商文件、采购过程和成交结果使自己的权益受到损害，可以按法律、行政法规及湖南省财政厅规范性文件规定向采购人或采购代理机构提出质疑。</w:t>
      </w:r>
    </w:p>
    <w:p>
      <w:pPr>
        <w:adjustRightInd w:val="0"/>
        <w:snapToGrid w:val="0"/>
        <w:spacing w:line="336"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39.成交通知</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39.1成交供应商确定后，采购人或采购代理机构将以书面形式向成交供应商发出成交通知书。成交通知书对采购人和成交供应商具有同等法律效力。</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39.2 成交通知书是合同文件的组成部分。</w:t>
      </w:r>
    </w:p>
    <w:p>
      <w:pPr>
        <w:tabs>
          <w:tab w:val="left" w:pos="7560"/>
          <w:tab w:val="left" w:pos="7740"/>
          <w:tab w:val="left" w:pos="7920"/>
        </w:tabs>
        <w:autoSpaceDN w:val="0"/>
        <w:adjustRightInd w:val="0"/>
        <w:snapToGrid w:val="0"/>
        <w:spacing w:line="336"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rPr>
        <w:t xml:space="preserve">39.3 </w:t>
      </w:r>
      <w:r>
        <w:rPr>
          <w:rFonts w:hint="eastAsia" w:ascii="仿宋_GB2312" w:hAnsi="仿宋_GB2312" w:eastAsia="仿宋_GB2312" w:cs="仿宋_GB2312"/>
          <w:color w:val="auto"/>
          <w:szCs w:val="21"/>
          <w:highlight w:val="none"/>
        </w:rPr>
        <w:t>成</w:t>
      </w:r>
      <w:r>
        <w:rPr>
          <w:rFonts w:hint="eastAsia" w:ascii="仿宋_GB2312" w:hAnsi="仿宋_GB2312" w:eastAsia="仿宋_GB2312" w:cs="仿宋_GB2312"/>
          <w:color w:val="auto"/>
          <w:spacing w:val="-4"/>
          <w:szCs w:val="21"/>
          <w:highlight w:val="none"/>
        </w:rPr>
        <w:t>交供应商在收到采购代理机构的成交通知书后10日内，应按照</w:t>
      </w:r>
      <w:r>
        <w:rPr>
          <w:rFonts w:hint="eastAsia" w:ascii="仿宋_GB2312" w:hAnsi="仿宋_GB2312" w:eastAsia="仿宋_GB2312" w:cs="仿宋_GB2312"/>
          <w:b/>
          <w:color w:val="auto"/>
          <w:spacing w:val="-4"/>
          <w:szCs w:val="21"/>
          <w:highlight w:val="none"/>
        </w:rPr>
        <w:t>磋商须知前附表</w:t>
      </w:r>
      <w:r>
        <w:rPr>
          <w:rFonts w:hint="eastAsia" w:ascii="仿宋_GB2312" w:hAnsi="仿宋_GB2312" w:eastAsia="仿宋_GB2312" w:cs="仿宋_GB2312"/>
          <w:color w:val="auto"/>
          <w:spacing w:val="-4"/>
          <w:szCs w:val="21"/>
          <w:highlight w:val="none"/>
        </w:rPr>
        <w:t>的规定，向采购人提交履约担保。联合体成交的，履约担保由联合体各方或联合体中牵头人的名义提交。</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39.4 成交供应商</w:t>
      </w:r>
      <w:r>
        <w:rPr>
          <w:rFonts w:hint="eastAsia" w:ascii="仿宋_GB2312" w:hAnsi="仿宋_GB2312" w:eastAsia="仿宋_GB2312" w:cs="仿宋_GB2312"/>
          <w:color w:val="auto"/>
          <w:spacing w:val="4"/>
          <w:highlight w:val="none"/>
        </w:rPr>
        <w:t>没有按照本章第39.3</w:t>
      </w:r>
      <w:r>
        <w:rPr>
          <w:rFonts w:hint="eastAsia" w:ascii="仿宋_GB2312" w:hAnsi="仿宋_GB2312" w:eastAsia="仿宋_GB2312" w:cs="仿宋_GB2312"/>
          <w:color w:val="auto"/>
          <w:kern w:val="0"/>
          <w:highlight w:val="none"/>
          <w:lang w:val="zh-CN"/>
        </w:rPr>
        <w:t>款</w:t>
      </w:r>
      <w:r>
        <w:rPr>
          <w:rFonts w:hint="eastAsia" w:ascii="仿宋_GB2312" w:hAnsi="仿宋_GB2312" w:eastAsia="仿宋_GB2312" w:cs="仿宋_GB2312"/>
          <w:color w:val="auto"/>
          <w:spacing w:val="4"/>
          <w:highlight w:val="none"/>
        </w:rPr>
        <w:t>规定</w:t>
      </w:r>
      <w:r>
        <w:rPr>
          <w:rFonts w:hint="eastAsia" w:ascii="仿宋_GB2312" w:hAnsi="仿宋_GB2312" w:eastAsia="仿宋_GB2312" w:cs="仿宋_GB2312"/>
          <w:color w:val="auto"/>
          <w:highlight w:val="none"/>
        </w:rPr>
        <w:t>提交履约担保的</w:t>
      </w:r>
      <w:r>
        <w:rPr>
          <w:rFonts w:hint="eastAsia" w:ascii="仿宋_GB2312" w:hAnsi="仿宋_GB2312" w:eastAsia="仿宋_GB2312" w:cs="仿宋_GB2312"/>
          <w:color w:val="auto"/>
          <w:spacing w:val="4"/>
          <w:highlight w:val="none"/>
        </w:rPr>
        <w:t>，视为放弃</w:t>
      </w:r>
      <w:r>
        <w:rPr>
          <w:rFonts w:hint="eastAsia" w:ascii="仿宋_GB2312" w:hAnsi="仿宋_GB2312" w:eastAsia="仿宋_GB2312" w:cs="仿宋_GB2312"/>
          <w:color w:val="auto"/>
          <w:highlight w:val="none"/>
        </w:rPr>
        <w:t>成交资格</w:t>
      </w:r>
      <w:r>
        <w:rPr>
          <w:rFonts w:hint="eastAsia" w:ascii="仿宋_GB2312" w:hAnsi="仿宋_GB2312" w:eastAsia="仿宋_GB2312" w:cs="仿宋_GB2312"/>
          <w:color w:val="auto"/>
          <w:spacing w:val="4"/>
          <w:highlight w:val="none"/>
        </w:rPr>
        <w:t>，</w:t>
      </w:r>
      <w:r>
        <w:rPr>
          <w:rFonts w:hint="eastAsia" w:ascii="仿宋_GB2312" w:hAnsi="仿宋_GB2312" w:eastAsia="仿宋_GB2312" w:cs="仿宋_GB2312"/>
          <w:color w:val="auto"/>
          <w:spacing w:val="2"/>
          <w:highlight w:val="none"/>
        </w:rPr>
        <w:t>其保证金不予退还。</w:t>
      </w:r>
    </w:p>
    <w:p>
      <w:pPr>
        <w:adjustRightInd w:val="0"/>
        <w:snapToGrid w:val="0"/>
        <w:spacing w:line="336" w:lineRule="auto"/>
        <w:rPr>
          <w:rFonts w:hint="eastAsia" w:ascii="仿宋_GB2312" w:hAnsi="仿宋_GB2312" w:eastAsia="仿宋_GB2312" w:cs="仿宋_GB2312"/>
          <w:b/>
          <w:bCs/>
          <w:color w:val="auto"/>
          <w:szCs w:val="21"/>
          <w:highlight w:val="none"/>
        </w:rPr>
      </w:pPr>
      <w:r>
        <w:rPr>
          <w:rFonts w:hint="eastAsia" w:ascii="仿宋_GB2312" w:hAnsi="仿宋_GB2312" w:eastAsia="仿宋_GB2312" w:cs="仿宋_GB2312"/>
          <w:b/>
          <w:bCs/>
          <w:color w:val="auto"/>
          <w:szCs w:val="21"/>
          <w:highlight w:val="none"/>
        </w:rPr>
        <w:t>40.签订合同</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40.1成交供应商应当在成交通知书发出之日起30日内与采购人签订政府采购合同。</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40.2磋商文件、成交供应商的响应文件等均为签订政府采购合同的依据。</w:t>
      </w:r>
    </w:p>
    <w:p>
      <w:pPr>
        <w:pStyle w:val="9"/>
        <w:adjustRightInd w:val="0"/>
        <w:snapToGrid w:val="0"/>
        <w:spacing w:line="336"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40.3 成交供应商应当按照合同约定履行义务。成交供应商不得向他人转让成交项目，也不得将成交项目分包后分别向他人转让。</w:t>
      </w:r>
    </w:p>
    <w:p>
      <w:pPr>
        <w:pStyle w:val="9"/>
        <w:adjustRightInd w:val="0"/>
        <w:snapToGrid w:val="0"/>
        <w:spacing w:line="336" w:lineRule="auto"/>
        <w:ind w:firstLine="420" w:firstLineChars="200"/>
        <w:rPr>
          <w:rFonts w:hint="eastAsia" w:ascii="仿宋_GB2312" w:hAnsi="仿宋_GB2312" w:eastAsia="仿宋_GB2312" w:cs="仿宋_GB2312"/>
          <w:color w:val="auto"/>
          <w:spacing w:val="-17"/>
          <w:highlight w:val="none"/>
        </w:rPr>
      </w:pPr>
      <w:r>
        <w:rPr>
          <w:rFonts w:hint="eastAsia" w:ascii="仿宋_GB2312" w:hAnsi="仿宋_GB2312" w:eastAsia="仿宋_GB2312" w:cs="仿宋_GB2312"/>
          <w:color w:val="auto"/>
          <w:highlight w:val="none"/>
        </w:rPr>
        <w:t>40.4 成交供应商有下列情形之一的，责令限期改正，情节严重的，列入不良行为记录名单，</w:t>
      </w:r>
      <w:r>
        <w:rPr>
          <w:rFonts w:hint="eastAsia" w:ascii="仿宋_GB2312" w:hAnsi="仿宋_GB2312" w:eastAsia="仿宋_GB2312" w:cs="仿宋_GB2312"/>
          <w:color w:val="auto"/>
          <w:spacing w:val="-17"/>
          <w:highlight w:val="none"/>
        </w:rPr>
        <w:t>在1至3年内禁止参加政府采购活动，并予以通报：</w:t>
      </w:r>
    </w:p>
    <w:p>
      <w:pPr>
        <w:pStyle w:val="9"/>
        <w:adjustRightInd w:val="0"/>
        <w:snapToGrid w:val="0"/>
        <w:spacing w:line="336" w:lineRule="auto"/>
        <w:ind w:firstLine="352" w:firstLineChars="200"/>
        <w:rPr>
          <w:rFonts w:hint="eastAsia" w:ascii="仿宋_GB2312" w:hAnsi="仿宋_GB2312" w:eastAsia="仿宋_GB2312" w:cs="仿宋_GB2312"/>
          <w:color w:val="auto"/>
          <w:spacing w:val="-17"/>
          <w:highlight w:val="none"/>
        </w:rPr>
      </w:pPr>
      <w:r>
        <w:rPr>
          <w:rFonts w:hint="eastAsia" w:ascii="仿宋_GB2312" w:hAnsi="仿宋_GB2312" w:eastAsia="仿宋_GB2312" w:cs="仿宋_GB2312"/>
          <w:color w:val="auto"/>
          <w:spacing w:val="-17"/>
          <w:highlight w:val="none"/>
        </w:rPr>
        <w:t>（一）成交后无正当理由不与采购人签订合同的；</w:t>
      </w:r>
    </w:p>
    <w:p>
      <w:pPr>
        <w:pStyle w:val="9"/>
        <w:adjustRightInd w:val="0"/>
        <w:snapToGrid w:val="0"/>
        <w:spacing w:line="336" w:lineRule="auto"/>
        <w:ind w:firstLine="352" w:firstLineChars="200"/>
        <w:rPr>
          <w:rFonts w:hint="eastAsia" w:ascii="仿宋_GB2312" w:hAnsi="仿宋_GB2312" w:eastAsia="仿宋_GB2312" w:cs="仿宋_GB2312"/>
          <w:color w:val="auto"/>
          <w:spacing w:val="-17"/>
          <w:highlight w:val="none"/>
        </w:rPr>
      </w:pPr>
      <w:r>
        <w:rPr>
          <w:rFonts w:hint="eastAsia" w:ascii="仿宋_GB2312" w:hAnsi="仿宋_GB2312" w:eastAsia="仿宋_GB2312" w:cs="仿宋_GB2312"/>
          <w:color w:val="auto"/>
          <w:spacing w:val="-17"/>
          <w:highlight w:val="none"/>
        </w:rPr>
        <w:t>（二）未按照采购文件确定的事项签订政府采购合同，或者与采购人另行订立背离合同实质性内容的协议的；</w:t>
      </w:r>
    </w:p>
    <w:p>
      <w:pPr>
        <w:pStyle w:val="9"/>
        <w:adjustRightInd w:val="0"/>
        <w:snapToGrid w:val="0"/>
        <w:spacing w:line="336" w:lineRule="auto"/>
        <w:ind w:firstLine="352" w:firstLineChars="200"/>
        <w:rPr>
          <w:rFonts w:hint="eastAsia" w:ascii="仿宋_GB2312" w:hAnsi="仿宋_GB2312" w:eastAsia="仿宋_GB2312" w:cs="仿宋_GB2312"/>
          <w:color w:val="auto"/>
          <w:spacing w:val="-17"/>
          <w:highlight w:val="none"/>
        </w:rPr>
      </w:pPr>
      <w:r>
        <w:rPr>
          <w:rFonts w:hint="eastAsia" w:ascii="仿宋_GB2312" w:hAnsi="仿宋_GB2312" w:eastAsia="仿宋_GB2312" w:cs="仿宋_GB2312"/>
          <w:color w:val="auto"/>
          <w:spacing w:val="-17"/>
          <w:highlight w:val="none"/>
        </w:rPr>
        <w:t>（三）拒绝履行合同义务的；</w:t>
      </w:r>
    </w:p>
    <w:p>
      <w:pPr>
        <w:pStyle w:val="9"/>
        <w:adjustRightInd w:val="0"/>
        <w:snapToGrid w:val="0"/>
        <w:spacing w:line="336" w:lineRule="auto"/>
        <w:ind w:firstLine="352" w:firstLineChars="200"/>
        <w:rPr>
          <w:rFonts w:hint="eastAsia" w:ascii="仿宋_GB2312" w:hAnsi="仿宋_GB2312" w:eastAsia="仿宋_GB2312" w:cs="仿宋_GB2312"/>
          <w:color w:val="auto"/>
          <w:spacing w:val="-17"/>
          <w:kern w:val="0"/>
          <w:highlight w:val="none"/>
        </w:rPr>
      </w:pPr>
      <w:r>
        <w:rPr>
          <w:rFonts w:hint="eastAsia" w:ascii="仿宋_GB2312" w:hAnsi="仿宋_GB2312" w:eastAsia="仿宋_GB2312" w:cs="仿宋_GB2312"/>
          <w:color w:val="auto"/>
          <w:spacing w:val="-17"/>
          <w:highlight w:val="none"/>
        </w:rPr>
        <w:t>（四）</w:t>
      </w:r>
      <w:r>
        <w:rPr>
          <w:rFonts w:hint="eastAsia" w:ascii="仿宋_GB2312" w:hAnsi="仿宋_GB2312" w:eastAsia="仿宋_GB2312" w:cs="仿宋_GB2312"/>
          <w:color w:val="auto"/>
          <w:spacing w:val="-17"/>
          <w:kern w:val="0"/>
          <w:highlight w:val="none"/>
        </w:rPr>
        <w:t>违反法律、规章、规范性文件规定的。</w:t>
      </w:r>
    </w:p>
    <w:p>
      <w:pPr>
        <w:adjustRightInd w:val="0"/>
        <w:snapToGrid w:val="0"/>
        <w:spacing w:line="336" w:lineRule="auto"/>
        <w:rPr>
          <w:rFonts w:hint="eastAsia" w:ascii="仿宋_GB2312" w:hAnsi="仿宋_GB2312" w:eastAsia="仿宋_GB2312" w:cs="仿宋_GB2312"/>
          <w:color w:val="auto"/>
          <w:spacing w:val="-17"/>
          <w:sz w:val="24"/>
          <w:highlight w:val="none"/>
        </w:rPr>
      </w:pPr>
      <w:r>
        <w:rPr>
          <w:rFonts w:hint="eastAsia" w:ascii="仿宋_GB2312" w:hAnsi="仿宋_GB2312" w:eastAsia="仿宋_GB2312" w:cs="仿宋_GB2312"/>
          <w:color w:val="auto"/>
          <w:spacing w:val="-17"/>
          <w:sz w:val="24"/>
          <w:highlight w:val="none"/>
        </w:rPr>
        <w:t>七、其他规定</w:t>
      </w:r>
    </w:p>
    <w:p>
      <w:pPr>
        <w:adjustRightInd w:val="0"/>
        <w:snapToGrid w:val="0"/>
        <w:spacing w:line="336" w:lineRule="auto"/>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szCs w:val="21"/>
          <w:highlight w:val="none"/>
        </w:rPr>
        <w:t>41.1采购代理服务费</w:t>
      </w:r>
    </w:p>
    <w:p>
      <w:pPr>
        <w:tabs>
          <w:tab w:val="left" w:pos="420"/>
          <w:tab w:val="left" w:pos="7560"/>
          <w:tab w:val="left" w:pos="7740"/>
          <w:tab w:val="left" w:pos="7920"/>
        </w:tabs>
        <w:adjustRightInd w:val="0"/>
        <w:snapToGrid w:val="0"/>
        <w:spacing w:line="336"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41.1采购代理机构应按</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规定收取采购代理服务费。</w:t>
      </w:r>
    </w:p>
    <w:p>
      <w:pPr>
        <w:tabs>
          <w:tab w:val="left" w:pos="420"/>
          <w:tab w:val="left" w:pos="7560"/>
          <w:tab w:val="left" w:pos="7740"/>
          <w:tab w:val="left" w:pos="7920"/>
        </w:tabs>
        <w:adjustRightInd w:val="0"/>
        <w:snapToGrid w:val="0"/>
        <w:spacing w:line="336"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41.2集中采购机构不得收取采购代理服务费。</w:t>
      </w:r>
    </w:p>
    <w:p>
      <w:pPr>
        <w:tabs>
          <w:tab w:val="left" w:pos="420"/>
          <w:tab w:val="left" w:pos="7560"/>
          <w:tab w:val="left" w:pos="7740"/>
          <w:tab w:val="left" w:pos="7920"/>
        </w:tabs>
        <w:adjustRightInd w:val="0"/>
        <w:snapToGrid w:val="0"/>
        <w:spacing w:line="336" w:lineRule="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szCs w:val="21"/>
          <w:highlight w:val="none"/>
        </w:rPr>
        <w:t>42.</w:t>
      </w:r>
      <w:r>
        <w:rPr>
          <w:rFonts w:hint="eastAsia" w:ascii="仿宋_GB2312" w:hAnsi="仿宋_GB2312" w:eastAsia="仿宋_GB2312" w:cs="仿宋_GB2312"/>
          <w:b/>
          <w:color w:val="auto"/>
          <w:highlight w:val="none"/>
        </w:rPr>
        <w:t xml:space="preserve"> 其他规定</w:t>
      </w:r>
    </w:p>
    <w:p>
      <w:pPr>
        <w:tabs>
          <w:tab w:val="left" w:pos="420"/>
          <w:tab w:val="left" w:pos="7560"/>
          <w:tab w:val="left" w:pos="7740"/>
          <w:tab w:val="left" w:pos="7920"/>
        </w:tabs>
        <w:adjustRightInd w:val="0"/>
        <w:snapToGrid w:val="0"/>
        <w:spacing w:line="336"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highlight w:val="none"/>
        </w:rPr>
        <w:t>42.1</w:t>
      </w:r>
      <w:r>
        <w:rPr>
          <w:rFonts w:hint="eastAsia" w:ascii="仿宋_GB2312" w:hAnsi="仿宋_GB2312" w:eastAsia="仿宋_GB2312" w:cs="仿宋_GB2312"/>
          <w:color w:val="auto"/>
          <w:szCs w:val="21"/>
          <w:highlight w:val="none"/>
        </w:rPr>
        <w:t>磋商文件</w:t>
      </w:r>
      <w:r>
        <w:rPr>
          <w:rFonts w:hint="eastAsia" w:ascii="仿宋_GB2312" w:hAnsi="仿宋_GB2312" w:eastAsia="仿宋_GB2312" w:cs="仿宋_GB2312"/>
          <w:color w:val="auto"/>
          <w:highlight w:val="none"/>
        </w:rPr>
        <w:t>的其他规定</w:t>
      </w:r>
      <w:r>
        <w:rPr>
          <w:rFonts w:hint="eastAsia" w:ascii="仿宋_GB2312" w:hAnsi="仿宋_GB2312" w:eastAsia="仿宋_GB2312" w:cs="仿宋_GB2312"/>
          <w:color w:val="auto"/>
          <w:szCs w:val="21"/>
          <w:highlight w:val="none"/>
        </w:rPr>
        <w:t>见</w:t>
      </w:r>
      <w:r>
        <w:rPr>
          <w:rFonts w:hint="eastAsia" w:ascii="仿宋_GB2312" w:hAnsi="仿宋_GB2312" w:eastAsia="仿宋_GB2312" w:cs="仿宋_GB2312"/>
          <w:b/>
          <w:color w:val="auto"/>
          <w:szCs w:val="21"/>
          <w:highlight w:val="none"/>
        </w:rPr>
        <w:t>磋商须知前附表</w:t>
      </w:r>
      <w:r>
        <w:rPr>
          <w:rFonts w:hint="eastAsia" w:ascii="仿宋_GB2312" w:hAnsi="仿宋_GB2312" w:eastAsia="仿宋_GB2312" w:cs="仿宋_GB2312"/>
          <w:color w:val="auto"/>
          <w:szCs w:val="21"/>
          <w:highlight w:val="none"/>
        </w:rPr>
        <w:t>。</w:t>
      </w:r>
    </w:p>
    <w:p>
      <w:pPr>
        <w:jc w:val="center"/>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
          <w:szCs w:val="32"/>
          <w:highlight w:val="none"/>
        </w:rPr>
        <w:br w:type="page"/>
      </w:r>
      <w:r>
        <w:rPr>
          <w:rFonts w:hint="eastAsia" w:ascii="仿宋_GB2312" w:hAnsi="仿宋_GB2312" w:eastAsia="仿宋_GB2312" w:cs="仿宋_GB2312"/>
          <w:b/>
          <w:color w:val="auto"/>
          <w:sz w:val="32"/>
          <w:szCs w:val="32"/>
          <w:highlight w:val="none"/>
        </w:rPr>
        <w:t>第三章 采购需求</w:t>
      </w:r>
    </w:p>
    <w:p>
      <w:pPr>
        <w:pStyle w:val="16"/>
        <w:keepNext w:val="0"/>
        <w:keepLines w:val="0"/>
        <w:pageBreakBefore w:val="0"/>
        <w:widowControl w:val="0"/>
        <w:kinsoku/>
        <w:wordWrap/>
        <w:overflowPunct/>
        <w:topLinePunct w:val="0"/>
        <w:autoSpaceDE/>
        <w:autoSpaceDN/>
        <w:bidi w:val="0"/>
        <w:adjustRightInd w:val="0"/>
        <w:snapToGrid w:val="0"/>
        <w:spacing w:before="0" w:after="0" w:line="480" w:lineRule="exact"/>
        <w:ind w:firstLine="562" w:firstLineChars="200"/>
        <w:jc w:val="left"/>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一、基本情况</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新区自2017年开展金融中心三维仿真相关工作，截至2017年底，通过三维仿真数据建模、720全景图两种方式制作完成金融中心6.86平方公里三维精细模型数据、11个节点的重点项目室外720全景图，载入了金融中心2.8平米的所有规划信息、重点项目信息、配套信息（截止至2017年底）等，能够有效支撑金融中心的信息化展示。</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按照前期设计目标，结合新区工作实际，为进一步深化全方位、多角度、可视化生动展示金融中心建设情况与规划成果，促进金融中心政务管理与招商引资，拟开展系统二期建设工作，在原有成果基础上对系统进行定期数据更新、功能扩展及优化升级。具体内容如下：</w:t>
      </w:r>
    </w:p>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rPr>
        <w:t>（一）数据更新优化</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在现有数据资源的基础上，按照三维精细模型建设要求，对金融中心范围内新增建设项目进行数据更新与场景入库工作，满足金融中心三维演示系统数据成果的“齐、准、新”，有效提升金融中心三维展示效果。每月进行720全景拍摄，记录金融中心生长过程。</w:t>
      </w:r>
    </w:p>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rPr>
        <w:t>（二）功能优化提升</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为满足金融中心三维仿真展示与招商引资更深层次应用需求，开展湖南金融中心三维演示系统功能优化提升工作，覆盖宣传影片、全景沙盘、四个专项、重点项目、配套沙盘等多个模块，实现金融中心建设现状展示与规划成果宣传的高度融合，助力金融中心招商引资。</w:t>
      </w:r>
    </w:p>
    <w:p>
      <w:pPr>
        <w:pStyle w:val="4"/>
        <w:keepNext w:val="0"/>
        <w:keepLines w:val="0"/>
        <w:pageBreakBefore w:val="0"/>
        <w:widowControl w:val="0"/>
        <w:kinsoku/>
        <w:wordWrap/>
        <w:overflowPunct/>
        <w:topLinePunct w:val="0"/>
        <w:autoSpaceDE/>
        <w:autoSpaceDN/>
        <w:bidi w:val="0"/>
        <w:adjustRightInd w:val="0"/>
        <w:snapToGrid w:val="0"/>
        <w:spacing w:before="156" w:line="480" w:lineRule="exact"/>
        <w:ind w:firstLine="0" w:firstLineChars="0"/>
        <w:jc w:val="center"/>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湖南金融中心三维演示系统功能延续提升内容</w:t>
      </w:r>
    </w:p>
    <w:tbl>
      <w:tblPr>
        <w:tblStyle w:val="29"/>
        <w:tblW w:w="8522" w:type="dxa"/>
        <w:tblInd w:w="0" w:type="dxa"/>
        <w:shd w:val="clear" w:color="auto" w:fill="auto"/>
        <w:tblLayout w:type="fixed"/>
        <w:tblCellMar>
          <w:top w:w="0" w:type="dxa"/>
          <w:left w:w="0" w:type="dxa"/>
          <w:bottom w:w="0" w:type="dxa"/>
          <w:right w:w="0" w:type="dxa"/>
        </w:tblCellMar>
      </w:tblPr>
      <w:tblGrid>
        <w:gridCol w:w="960"/>
        <w:gridCol w:w="1665"/>
        <w:gridCol w:w="4670"/>
        <w:gridCol w:w="1227"/>
      </w:tblGrid>
      <w:tr>
        <w:tblPrEx>
          <w:shd w:val="clear" w:color="auto" w:fill="auto"/>
          <w:tblLayout w:type="fixed"/>
          <w:tblCellMar>
            <w:top w:w="0" w:type="dxa"/>
            <w:left w:w="0" w:type="dxa"/>
            <w:bottom w:w="0" w:type="dxa"/>
            <w:right w:w="0" w:type="dxa"/>
          </w:tblCellMar>
        </w:tblPrEx>
        <w:trPr>
          <w:trHeight w:val="350" w:hRule="atLeast"/>
          <w:tblHeader/>
        </w:trPr>
        <w:tc>
          <w:tcPr>
            <w:tcW w:w="960" w:type="dxa"/>
            <w:tcBorders>
              <w:top w:val="single" w:color="000000" w:sz="4" w:space="0"/>
              <w:left w:val="single" w:color="000000" w:sz="4" w:space="0"/>
              <w:bottom w:val="single" w:color="auto"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序号</w:t>
            </w:r>
          </w:p>
        </w:tc>
        <w:tc>
          <w:tcPr>
            <w:tcW w:w="1665" w:type="dxa"/>
            <w:tcBorders>
              <w:top w:val="single" w:color="000000" w:sz="4" w:space="0"/>
              <w:left w:val="single" w:color="000000" w:sz="4" w:space="0"/>
              <w:bottom w:val="single" w:color="auto"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工作内容</w:t>
            </w:r>
          </w:p>
        </w:tc>
        <w:tc>
          <w:tcPr>
            <w:tcW w:w="4670" w:type="dxa"/>
            <w:tcBorders>
              <w:top w:val="single" w:color="000000" w:sz="4" w:space="0"/>
              <w:left w:val="single" w:color="000000" w:sz="4" w:space="0"/>
              <w:bottom w:val="single" w:color="auto"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内容描述</w:t>
            </w:r>
          </w:p>
        </w:tc>
        <w:tc>
          <w:tcPr>
            <w:tcW w:w="1227" w:type="dxa"/>
            <w:tcBorders>
              <w:top w:val="single" w:color="000000" w:sz="4" w:space="0"/>
              <w:left w:val="single" w:color="000000" w:sz="4" w:space="0"/>
              <w:bottom w:val="single" w:color="auto"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备注</w:t>
            </w:r>
          </w:p>
        </w:tc>
      </w:tr>
      <w:tr>
        <w:tblPrEx>
          <w:tblLayout w:type="fixed"/>
          <w:tblCellMar>
            <w:top w:w="0" w:type="dxa"/>
            <w:left w:w="0" w:type="dxa"/>
            <w:bottom w:w="0" w:type="dxa"/>
            <w:right w:w="0" w:type="dxa"/>
          </w:tblCellMar>
        </w:tblPrEx>
        <w:trPr>
          <w:trHeight w:val="454" w:hRule="atLeast"/>
        </w:trPr>
        <w:tc>
          <w:tcPr>
            <w:tcW w:w="96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p>
        </w:tc>
        <w:tc>
          <w:tcPr>
            <w:tcW w:w="1665"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宣传影片</w:t>
            </w:r>
          </w:p>
        </w:tc>
        <w:tc>
          <w:tcPr>
            <w:tcW w:w="467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1）研发新增宣传影片模块；</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2）整合水晶石《金融中心总览》和华东院《金融中心规划介绍》。</w:t>
            </w:r>
          </w:p>
        </w:tc>
        <w:tc>
          <w:tcPr>
            <w:tcW w:w="1227" w:type="dxa"/>
            <w:vMerge w:val="restart"/>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p>
        </w:tc>
      </w:tr>
      <w:tr>
        <w:tblPrEx>
          <w:tblLayout w:type="fixed"/>
          <w:tblCellMar>
            <w:top w:w="0" w:type="dxa"/>
            <w:left w:w="0" w:type="dxa"/>
            <w:bottom w:w="0" w:type="dxa"/>
            <w:right w:w="0" w:type="dxa"/>
          </w:tblCellMar>
        </w:tblPrEx>
        <w:trPr>
          <w:trHeight w:val="454" w:hRule="atLeast"/>
        </w:trPr>
        <w:tc>
          <w:tcPr>
            <w:tcW w:w="96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p>
        </w:tc>
        <w:tc>
          <w:tcPr>
            <w:tcW w:w="1665" w:type="dxa"/>
            <w:tcBorders>
              <w:top w:val="single" w:color="auto" w:sz="4" w:space="0"/>
              <w:left w:val="single" w:color="auto" w:sz="4" w:space="0"/>
              <w:bottom w:val="single" w:color="000000"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全景沙盘</w:t>
            </w:r>
          </w:p>
        </w:tc>
        <w:tc>
          <w:tcPr>
            <w:tcW w:w="4670" w:type="dxa"/>
            <w:tcBorders>
              <w:top w:val="single" w:color="auto" w:sz="4" w:space="0"/>
              <w:left w:val="single" w:color="000000" w:sz="4" w:space="0"/>
              <w:bottom w:val="single" w:color="000000"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1）研发新增城市设计子模块；</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2）通过Flash多媒体技术对城市设计子模块内容进行展示手段提升。</w:t>
            </w:r>
          </w:p>
        </w:tc>
        <w:tc>
          <w:tcPr>
            <w:tcW w:w="1227" w:type="dxa"/>
            <w:vMerge w:val="continue"/>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p>
        </w:tc>
      </w:tr>
      <w:tr>
        <w:tblPrEx>
          <w:tblLayout w:type="fixed"/>
          <w:tblCellMar>
            <w:top w:w="0" w:type="dxa"/>
            <w:left w:w="0" w:type="dxa"/>
            <w:bottom w:w="0" w:type="dxa"/>
            <w:right w:w="0" w:type="dxa"/>
          </w:tblCellMar>
        </w:tblPrEx>
        <w:trPr>
          <w:trHeight w:val="454" w:hRule="atLeast"/>
        </w:trPr>
        <w:tc>
          <w:tcPr>
            <w:tcW w:w="96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w:t>
            </w:r>
          </w:p>
        </w:tc>
        <w:tc>
          <w:tcPr>
            <w:tcW w:w="1665" w:type="dxa"/>
            <w:tcBorders>
              <w:top w:val="single" w:color="000000" w:sz="4" w:space="0"/>
              <w:left w:val="single" w:color="auto" w:sz="4" w:space="0"/>
              <w:bottom w:val="single" w:color="000000"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四个专项</w:t>
            </w:r>
          </w:p>
        </w:tc>
        <w:tc>
          <w:tcPr>
            <w:tcW w:w="4670" w:type="dxa"/>
            <w:tcBorders>
              <w:top w:val="single" w:color="000000" w:sz="4" w:space="0"/>
              <w:left w:val="single" w:color="000000"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1）研发新增空间业态、地下空间、水利景观子模块；</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2）优化升级原有综合交通子模块；</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3）通过Flash多媒体技术对空间业态、地下空间、综合交通子模块内容进行展示手段提升。</w:t>
            </w:r>
          </w:p>
        </w:tc>
        <w:tc>
          <w:tcPr>
            <w:tcW w:w="1227" w:type="dxa"/>
            <w:vMerge w:val="continue"/>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p>
        </w:tc>
      </w:tr>
      <w:tr>
        <w:tblPrEx>
          <w:tblLayout w:type="fixed"/>
          <w:tblCellMar>
            <w:top w:w="0" w:type="dxa"/>
            <w:left w:w="0" w:type="dxa"/>
            <w:bottom w:w="0" w:type="dxa"/>
            <w:right w:w="0" w:type="dxa"/>
          </w:tblCellMar>
        </w:tblPrEx>
        <w:trPr>
          <w:trHeight w:val="454" w:hRule="atLeast"/>
        </w:trPr>
        <w:tc>
          <w:tcPr>
            <w:tcW w:w="96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w:t>
            </w:r>
          </w:p>
        </w:tc>
        <w:tc>
          <w:tcPr>
            <w:tcW w:w="1665" w:type="dxa"/>
            <w:tcBorders>
              <w:top w:val="single" w:color="000000" w:sz="4" w:space="0"/>
              <w:left w:val="single" w:color="auto" w:sz="4" w:space="0"/>
              <w:bottom w:val="single" w:color="000000"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配套沙盘</w:t>
            </w:r>
          </w:p>
        </w:tc>
        <w:tc>
          <w:tcPr>
            <w:tcW w:w="467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1）研发新增学校子模块中岳麓区范围内学校分布图功能；</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2）研发新增公园子模块及公园分布图；</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3）研发新增公寓子模块及滨江正荣府、远洋外滩一号、启迪协信中心等10个公寓的介绍和展示；</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4）研发新增医院子模块及医院分布图；</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5）研发新增电力子模块；</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6）通过Flash多媒体技术对学校、公园、商业、公寓、医院、电力子模块内容进行展示手段提升。</w:t>
            </w:r>
          </w:p>
        </w:tc>
        <w:tc>
          <w:tcPr>
            <w:tcW w:w="1227" w:type="dxa"/>
            <w:vMerge w:val="continue"/>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p>
        </w:tc>
      </w:tr>
      <w:tr>
        <w:tblPrEx>
          <w:tblLayout w:type="fixed"/>
          <w:tblCellMar>
            <w:top w:w="0" w:type="dxa"/>
            <w:left w:w="0" w:type="dxa"/>
            <w:bottom w:w="0" w:type="dxa"/>
            <w:right w:w="0" w:type="dxa"/>
          </w:tblCellMar>
        </w:tblPrEx>
        <w:trPr>
          <w:trHeight w:val="28" w:hRule="atLeast"/>
        </w:trPr>
        <w:tc>
          <w:tcPr>
            <w:tcW w:w="960"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w:t>
            </w:r>
          </w:p>
        </w:tc>
        <w:tc>
          <w:tcPr>
            <w:tcW w:w="1665" w:type="dxa"/>
            <w:tcBorders>
              <w:top w:val="single" w:color="000000" w:sz="4" w:space="0"/>
              <w:left w:val="single" w:color="auto" w:sz="4" w:space="0"/>
              <w:bottom w:val="single" w:color="000000" w:sz="4" w:space="0"/>
              <w:right w:val="single" w:color="000000"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重点项目</w:t>
            </w:r>
          </w:p>
        </w:tc>
        <w:tc>
          <w:tcPr>
            <w:tcW w:w="4670" w:type="dxa"/>
            <w:tcBorders>
              <w:top w:val="single" w:color="auto" w:sz="4" w:space="0"/>
              <w:left w:val="single" w:color="000000" w:sz="4" w:space="0"/>
              <w:bottom w:val="single" w:color="000000"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1）研发新增金融中心扶持政策、基金小镇扶持政策子模块；</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2）通过Flash多媒体技术对金融中心扶持政策、基金小镇扶持政策子模块内容进行展示手段提升。</w:t>
            </w:r>
          </w:p>
          <w:p>
            <w:pPr>
              <w:keepNext w:val="0"/>
              <w:keepLines w:val="0"/>
              <w:pageBreakBefore w:val="0"/>
              <w:widowControl w:val="0"/>
              <w:kinsoku/>
              <w:wordWrap/>
              <w:overflowPunct/>
              <w:topLinePunct w:val="0"/>
              <w:autoSpaceDE/>
              <w:autoSpaceDN/>
              <w:bidi w:val="0"/>
              <w:adjustRightInd w:val="0"/>
              <w:snapToGrid w:val="0"/>
              <w:spacing w:line="48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3）预留标准层、样板间展示的接口，并完成1-2个样板间720制作。</w:t>
            </w:r>
          </w:p>
        </w:tc>
        <w:tc>
          <w:tcPr>
            <w:tcW w:w="1227" w:type="dxa"/>
            <w:vMerge w:val="continue"/>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val="0"/>
              <w:spacing w:line="480" w:lineRule="exact"/>
              <w:jc w:val="center"/>
              <w:textAlignment w:val="auto"/>
              <w:rPr>
                <w:rFonts w:hint="eastAsia" w:ascii="仿宋_GB2312" w:hAnsi="仿宋_GB2312" w:eastAsia="仿宋_GB2312" w:cs="仿宋_GB2312"/>
                <w:color w:val="auto"/>
                <w:sz w:val="24"/>
                <w:szCs w:val="24"/>
                <w:highlight w:val="none"/>
              </w:rPr>
            </w:pPr>
          </w:p>
        </w:tc>
      </w:tr>
    </w:tbl>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rPr>
        <w:t>（三）用户体验提升</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color w:val="auto"/>
          <w:sz w:val="28"/>
          <w:szCs w:val="28"/>
          <w:highlight w:val="none"/>
        </w:rPr>
        <w:t>基于湖南金融中心三维演示系统一期建设成果，结合二期功能优化提升，开展系统功能模块的重组，将分散设计的成果组织形式，梳理成宣传影片、全景沙盘、四个专项、配套沙盘、重点项目五大类功能，并通过三维场景浏览加速、系统界面优化升级等手段，全面提升用户体验，将系统适配到更多的应用场景，满足更多的使用需求。</w:t>
      </w:r>
    </w:p>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outlineLvl w:val="0"/>
        <w:rPr>
          <w:rFonts w:hint="eastAsia" w:ascii="仿宋_GB2312" w:hAnsi="仿宋_GB2312" w:eastAsia="仿宋_GB2312" w:cs="仿宋_GB2312"/>
          <w:b/>
          <w:bCs/>
          <w:color w:val="auto"/>
          <w:kern w:val="0"/>
          <w:sz w:val="28"/>
          <w:szCs w:val="28"/>
          <w:highlight w:val="none"/>
        </w:rPr>
      </w:pPr>
      <w:r>
        <w:rPr>
          <w:rFonts w:hint="eastAsia" w:ascii="仿宋_GB2312" w:hAnsi="仿宋_GB2312" w:eastAsia="仿宋_GB2312" w:cs="仿宋_GB2312"/>
          <w:b/>
          <w:bCs/>
          <w:color w:val="auto"/>
          <w:kern w:val="0"/>
          <w:sz w:val="28"/>
          <w:szCs w:val="28"/>
          <w:highlight w:val="none"/>
          <w:lang w:eastAsia="zh-CN"/>
        </w:rPr>
        <w:t>二</w:t>
      </w:r>
      <w:r>
        <w:rPr>
          <w:rFonts w:hint="eastAsia" w:ascii="仿宋_GB2312" w:hAnsi="仿宋_GB2312" w:eastAsia="仿宋_GB2312" w:cs="仿宋_GB2312"/>
          <w:b/>
          <w:bCs/>
          <w:color w:val="auto"/>
          <w:kern w:val="0"/>
          <w:sz w:val="28"/>
          <w:szCs w:val="28"/>
          <w:highlight w:val="none"/>
        </w:rPr>
        <w:t>、成果形式及要求</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rPr>
        <w:t>正式成果须提交包含电子文件的光盘2份（含三维仿真数据更新优化及入库后的最终成果数据）、文本1份。</w:t>
      </w:r>
    </w:p>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b/>
          <w:bCs/>
          <w:color w:val="auto"/>
          <w:kern w:val="0"/>
          <w:sz w:val="28"/>
          <w:szCs w:val="28"/>
          <w:highlight w:val="none"/>
          <w:lang w:eastAsia="zh-CN"/>
        </w:rPr>
        <w:t>三</w:t>
      </w:r>
      <w:r>
        <w:rPr>
          <w:rFonts w:hint="eastAsia" w:ascii="仿宋_GB2312" w:hAnsi="仿宋_GB2312" w:eastAsia="仿宋_GB2312" w:cs="仿宋_GB2312"/>
          <w:b/>
          <w:bCs/>
          <w:color w:val="auto"/>
          <w:kern w:val="0"/>
          <w:sz w:val="28"/>
          <w:szCs w:val="28"/>
          <w:highlight w:val="none"/>
        </w:rPr>
        <w:t>、</w:t>
      </w:r>
      <w:r>
        <w:rPr>
          <w:rFonts w:hint="eastAsia" w:ascii="仿宋_GB2312" w:hAnsi="仿宋_GB2312" w:eastAsia="仿宋_GB2312" w:cs="仿宋_GB2312"/>
          <w:b/>
          <w:bCs/>
          <w:color w:val="auto"/>
          <w:kern w:val="0"/>
          <w:sz w:val="28"/>
          <w:szCs w:val="28"/>
          <w:highlight w:val="none"/>
          <w:lang w:val="en-US" w:eastAsia="zh-CN"/>
        </w:rPr>
        <w:t>进度安排、验收标准及付款方式</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1、进度安排</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（1）完成时间：在3个月内完成三维演示系统提升工作整体计划，三维数据动态维护与更新持续到2019年12月。</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（2）提交成果地点：湖南湘江新区管理委员会财政局。</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（3）提交成果方式：中标单位负责项目的实施。</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2、验收标准</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t>（1）本项目按长财采购[2016]6号文的规定，以</w:t>
      </w:r>
      <w:r>
        <w:rPr>
          <w:rFonts w:hint="eastAsia" w:ascii="仿宋_GB2312" w:hAnsi="仿宋_GB2312" w:eastAsia="仿宋_GB2312" w:cs="仿宋_GB2312"/>
          <w:color w:val="auto"/>
          <w:kern w:val="0"/>
          <w:sz w:val="28"/>
          <w:szCs w:val="28"/>
          <w:highlight w:val="none"/>
          <w:lang w:eastAsia="zh-CN"/>
        </w:rPr>
        <w:t>简易</w:t>
      </w:r>
      <w:r>
        <w:rPr>
          <w:rFonts w:hint="eastAsia" w:ascii="仿宋_GB2312" w:hAnsi="仿宋_GB2312" w:eastAsia="仿宋_GB2312" w:cs="仿宋_GB2312"/>
          <w:color w:val="auto"/>
          <w:kern w:val="0"/>
          <w:sz w:val="28"/>
          <w:szCs w:val="28"/>
          <w:highlight w:val="none"/>
        </w:rPr>
        <w:t>程序验收方式进行验收。若项目验收国家有强制性规定的，按国家规定执行，验收费用由中标人承担，验收报告作为申请付款的凭证之一。</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t>（2）验收过程中产生</w:t>
      </w:r>
      <w:r>
        <w:rPr>
          <w:rFonts w:hint="eastAsia" w:ascii="仿宋_GB2312" w:hAnsi="仿宋_GB2312" w:eastAsia="仿宋_GB2312" w:cs="仿宋_GB2312"/>
          <w:color w:val="auto"/>
          <w:spacing w:val="-11"/>
          <w:kern w:val="0"/>
          <w:sz w:val="28"/>
          <w:szCs w:val="28"/>
          <w:highlight w:val="none"/>
        </w:rPr>
        <w:t>纠纷的，由质量技术监督部门认定的检测机构检测,如为中标人原因造成的，由中标人承担</w:t>
      </w:r>
      <w:r>
        <w:rPr>
          <w:rFonts w:hint="eastAsia" w:ascii="仿宋_GB2312" w:hAnsi="仿宋_GB2312" w:eastAsia="仿宋_GB2312" w:cs="仿宋_GB2312"/>
          <w:color w:val="auto"/>
          <w:kern w:val="0"/>
          <w:sz w:val="28"/>
          <w:szCs w:val="28"/>
          <w:highlight w:val="none"/>
        </w:rPr>
        <w:t>检测费用；否则，由采购人承担。</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t>（3）项目验收不合格，由中标人返工直至合格，有关返工、再行验收，以及给采购人造成的损失等费用由中标人承担。连续两次项目验收不合格的，采购人可终止合同，另行按规定选择其他供应商采购，由此带来的一切损失由中标人承担。</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color w:val="auto"/>
          <w:kern w:val="0"/>
          <w:sz w:val="28"/>
          <w:szCs w:val="28"/>
          <w:highlight w:val="none"/>
          <w:lang w:val="en-US" w:eastAsia="zh-CN"/>
        </w:rPr>
      </w:pPr>
      <w:r>
        <w:rPr>
          <w:rFonts w:hint="eastAsia" w:ascii="仿宋_GB2312" w:hAnsi="仿宋_GB2312" w:eastAsia="仿宋_GB2312" w:cs="仿宋_GB2312"/>
          <w:color w:val="auto"/>
          <w:kern w:val="0"/>
          <w:sz w:val="28"/>
          <w:szCs w:val="28"/>
          <w:highlight w:val="none"/>
          <w:lang w:val="en-US" w:eastAsia="zh-CN"/>
        </w:rPr>
        <w:t>3、付款方式：</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1</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付款人：湖南湘江新区管理委员会</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537" w:firstLineChars="192"/>
        <w:textAlignment w:val="auto"/>
        <w:outlineLvl w:val="0"/>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2</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付款方式：合同签订后7个工作日内，支付合同款的30%，软件产品安装部署后7个工作日内，支付合同款的40%，正式成果验收通过后7个工作日内，支付余款30%。</w:t>
      </w:r>
    </w:p>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outlineLvl w:val="0"/>
        <w:rPr>
          <w:rFonts w:hint="eastAsia" w:ascii="仿宋_GB2312" w:hAnsi="仿宋_GB2312" w:eastAsia="仿宋_GB2312" w:cs="仿宋_GB2312"/>
          <w:b/>
          <w:bCs/>
          <w:color w:val="auto"/>
          <w:kern w:val="0"/>
          <w:sz w:val="28"/>
          <w:szCs w:val="28"/>
          <w:highlight w:val="none"/>
        </w:rPr>
      </w:pPr>
      <w:bookmarkStart w:id="0" w:name="_Toc467413256"/>
      <w:bookmarkStart w:id="1" w:name="_Toc473024066"/>
      <w:bookmarkStart w:id="2" w:name="_Toc473108836"/>
      <w:bookmarkStart w:id="3" w:name="_Toc473022862"/>
      <w:bookmarkStart w:id="4" w:name="_Toc472427040"/>
      <w:r>
        <w:rPr>
          <w:rFonts w:hint="eastAsia" w:ascii="仿宋_GB2312" w:hAnsi="仿宋_GB2312" w:eastAsia="仿宋_GB2312" w:cs="仿宋_GB2312"/>
          <w:b/>
          <w:bCs/>
          <w:color w:val="auto"/>
          <w:kern w:val="0"/>
          <w:sz w:val="28"/>
          <w:szCs w:val="28"/>
          <w:highlight w:val="none"/>
          <w:lang w:eastAsia="zh-CN"/>
        </w:rPr>
        <w:t>四</w:t>
      </w:r>
      <w:r>
        <w:rPr>
          <w:rFonts w:hint="eastAsia" w:ascii="仿宋_GB2312" w:hAnsi="仿宋_GB2312" w:eastAsia="仿宋_GB2312" w:cs="仿宋_GB2312"/>
          <w:b/>
          <w:bCs/>
          <w:color w:val="auto"/>
          <w:kern w:val="0"/>
          <w:sz w:val="28"/>
          <w:szCs w:val="28"/>
          <w:highlight w:val="none"/>
        </w:rPr>
        <w:t>、售后服务及培训要求</w:t>
      </w:r>
      <w:bookmarkEnd w:id="0"/>
      <w:bookmarkEnd w:id="1"/>
      <w:bookmarkEnd w:id="2"/>
      <w:bookmarkEnd w:id="3"/>
      <w:bookmarkEnd w:id="4"/>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bookmarkStart w:id="5" w:name="_Toc473024067"/>
      <w:bookmarkStart w:id="6" w:name="_Toc473108837"/>
      <w:bookmarkStart w:id="7" w:name="_Toc473022863"/>
      <w:bookmarkStart w:id="8" w:name="_Toc472427041"/>
      <w:r>
        <w:rPr>
          <w:rFonts w:hint="eastAsia" w:ascii="仿宋_GB2312" w:hAnsi="仿宋_GB2312" w:eastAsia="仿宋_GB2312" w:cs="仿宋_GB2312"/>
          <w:bCs/>
          <w:color w:val="auto"/>
          <w:kern w:val="0"/>
          <w:sz w:val="28"/>
          <w:szCs w:val="28"/>
          <w:highlight w:val="none"/>
          <w:lang w:val="en-US" w:eastAsia="zh-CN"/>
        </w:rPr>
        <w:t>1、</w:t>
      </w:r>
      <w:r>
        <w:rPr>
          <w:rFonts w:hint="eastAsia" w:ascii="仿宋_GB2312" w:hAnsi="仿宋_GB2312" w:eastAsia="仿宋_GB2312" w:cs="仿宋_GB2312"/>
          <w:bCs/>
          <w:color w:val="auto"/>
          <w:kern w:val="0"/>
          <w:sz w:val="28"/>
          <w:szCs w:val="28"/>
          <w:highlight w:val="none"/>
        </w:rPr>
        <w:t>售后服务要求</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1</w:t>
      </w:r>
      <w:r>
        <w:rPr>
          <w:rFonts w:hint="eastAsia" w:ascii="仿宋_GB2312" w:hAnsi="仿宋_GB2312" w:eastAsia="仿宋_GB2312" w:cs="仿宋_GB2312"/>
          <w:bCs/>
          <w:color w:val="auto"/>
          <w:kern w:val="0"/>
          <w:sz w:val="28"/>
          <w:szCs w:val="28"/>
          <w:highlight w:val="none"/>
          <w:lang w:eastAsia="zh-CN"/>
        </w:rPr>
        <w:t>）为</w:t>
      </w:r>
      <w:r>
        <w:rPr>
          <w:rFonts w:hint="eastAsia" w:ascii="仿宋_GB2312" w:hAnsi="仿宋_GB2312" w:eastAsia="仿宋_GB2312" w:cs="仿宋_GB2312"/>
          <w:bCs/>
          <w:color w:val="auto"/>
          <w:kern w:val="0"/>
          <w:sz w:val="28"/>
          <w:szCs w:val="28"/>
          <w:highlight w:val="none"/>
        </w:rPr>
        <w:t>保证系统工</w:t>
      </w:r>
      <w:r>
        <w:rPr>
          <w:rFonts w:hint="eastAsia" w:ascii="仿宋_GB2312" w:hAnsi="仿宋_GB2312" w:eastAsia="仿宋_GB2312" w:cs="仿宋_GB2312"/>
          <w:bCs/>
          <w:color w:val="auto"/>
          <w:spacing w:val="-11"/>
          <w:kern w:val="0"/>
          <w:sz w:val="28"/>
          <w:szCs w:val="28"/>
          <w:highlight w:val="none"/>
        </w:rPr>
        <w:t>程有序、规范建设，</w:t>
      </w:r>
      <w:r>
        <w:rPr>
          <w:rFonts w:hint="eastAsia" w:ascii="仿宋_GB2312" w:hAnsi="仿宋_GB2312" w:eastAsia="仿宋_GB2312" w:cs="仿宋_GB2312"/>
          <w:bCs/>
          <w:color w:val="auto"/>
          <w:spacing w:val="-11"/>
          <w:kern w:val="0"/>
          <w:sz w:val="28"/>
          <w:szCs w:val="28"/>
          <w:highlight w:val="none"/>
          <w:lang w:eastAsia="zh-CN"/>
        </w:rPr>
        <w:t>中标单位须</w:t>
      </w:r>
      <w:r>
        <w:rPr>
          <w:rFonts w:hint="eastAsia" w:ascii="仿宋_GB2312" w:hAnsi="仿宋_GB2312" w:eastAsia="仿宋_GB2312" w:cs="仿宋_GB2312"/>
          <w:bCs/>
          <w:color w:val="auto"/>
          <w:kern w:val="0"/>
          <w:sz w:val="28"/>
          <w:szCs w:val="28"/>
          <w:highlight w:val="none"/>
        </w:rPr>
        <w:t>成立由专业技术人员组成的信息化工作机构，确保项目建设方面政策、标准、技术的快速与持续贯彻；</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2</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所有软件产品负责1年的免费维护和更新；</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3</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软件故障报修的响应时间：24小时内到达现场；</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4</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如果故障在检修8小时后仍无法排除，投标方应在24小时内提供采用备份系统进行修复供采购方使用；</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5</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应提供系统扩充、升级方面的技术支持服务。</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val="en-US" w:eastAsia="zh-CN"/>
        </w:rPr>
        <w:t>2、</w:t>
      </w:r>
      <w:r>
        <w:rPr>
          <w:rFonts w:hint="eastAsia" w:ascii="仿宋_GB2312" w:hAnsi="仿宋_GB2312" w:eastAsia="仿宋_GB2312" w:cs="仿宋_GB2312"/>
          <w:bCs/>
          <w:color w:val="auto"/>
          <w:kern w:val="0"/>
          <w:sz w:val="28"/>
          <w:szCs w:val="28"/>
          <w:highlight w:val="none"/>
        </w:rPr>
        <w:t>培训要求</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1</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提供软件技术和系统操作等方面的培训；</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2</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实施过程中提供全面的培训，培训内容包括系统操作培训、配置管理和系统维护培训等；</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lang w:val="en-US" w:eastAsia="zh-CN"/>
        </w:rPr>
        <w:t>3</w:t>
      </w:r>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投标方必须</w:t>
      </w:r>
      <w:r>
        <w:rPr>
          <w:rFonts w:hint="eastAsia" w:ascii="仿宋_GB2312" w:hAnsi="仿宋_GB2312" w:eastAsia="仿宋_GB2312" w:cs="仿宋_GB2312"/>
          <w:bCs/>
          <w:color w:val="auto"/>
          <w:kern w:val="0"/>
          <w:sz w:val="28"/>
          <w:szCs w:val="28"/>
          <w:highlight w:val="none"/>
          <w:lang w:eastAsia="zh-CN"/>
        </w:rPr>
        <w:t>免费</w:t>
      </w:r>
      <w:r>
        <w:rPr>
          <w:rFonts w:hint="eastAsia" w:ascii="仿宋_GB2312" w:hAnsi="仿宋_GB2312" w:eastAsia="仿宋_GB2312" w:cs="仿宋_GB2312"/>
          <w:bCs/>
          <w:color w:val="auto"/>
          <w:kern w:val="0"/>
          <w:sz w:val="28"/>
          <w:szCs w:val="28"/>
          <w:highlight w:val="none"/>
        </w:rPr>
        <w:t>为所有被培训人员提供培训用文字资料和讲义等相关培训资料。</w:t>
      </w:r>
    </w:p>
    <w:p>
      <w:pPr>
        <w:keepNext w:val="0"/>
        <w:keepLines w:val="0"/>
        <w:pageBreakBefore w:val="0"/>
        <w:widowControl w:val="0"/>
        <w:kinsoku/>
        <w:wordWrap/>
        <w:overflowPunct/>
        <w:topLinePunct w:val="0"/>
        <w:autoSpaceDE/>
        <w:autoSpaceDN/>
        <w:bidi w:val="0"/>
        <w:adjustRightInd w:val="0"/>
        <w:snapToGrid w:val="0"/>
        <w:spacing w:line="480" w:lineRule="exact"/>
        <w:ind w:firstLine="562" w:firstLineChars="200"/>
        <w:textAlignment w:val="auto"/>
        <w:outlineLvl w:val="0"/>
        <w:rPr>
          <w:rFonts w:hint="eastAsia" w:ascii="仿宋_GB2312" w:hAnsi="仿宋_GB2312" w:eastAsia="仿宋_GB2312" w:cs="仿宋_GB2312"/>
          <w:b/>
          <w:bCs/>
          <w:color w:val="auto"/>
          <w:kern w:val="0"/>
          <w:sz w:val="28"/>
          <w:szCs w:val="28"/>
          <w:highlight w:val="none"/>
        </w:rPr>
      </w:pPr>
      <w:r>
        <w:rPr>
          <w:rFonts w:hint="eastAsia" w:ascii="仿宋_GB2312" w:hAnsi="仿宋_GB2312" w:eastAsia="仿宋_GB2312" w:cs="仿宋_GB2312"/>
          <w:b/>
          <w:bCs/>
          <w:color w:val="auto"/>
          <w:kern w:val="0"/>
          <w:sz w:val="28"/>
          <w:szCs w:val="28"/>
          <w:highlight w:val="none"/>
          <w:lang w:eastAsia="zh-CN"/>
        </w:rPr>
        <w:t>五</w:t>
      </w:r>
      <w:r>
        <w:rPr>
          <w:rFonts w:hint="eastAsia" w:ascii="仿宋_GB2312" w:hAnsi="仿宋_GB2312" w:eastAsia="仿宋_GB2312" w:cs="仿宋_GB2312"/>
          <w:b/>
          <w:bCs/>
          <w:color w:val="auto"/>
          <w:kern w:val="0"/>
          <w:sz w:val="28"/>
          <w:szCs w:val="28"/>
          <w:highlight w:val="none"/>
        </w:rPr>
        <w:t>、其它要求</w:t>
      </w:r>
      <w:bookmarkEnd w:id="5"/>
      <w:bookmarkEnd w:id="6"/>
      <w:bookmarkEnd w:id="7"/>
      <w:bookmarkEnd w:id="8"/>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bookmarkStart w:id="9" w:name="_Toc335841219"/>
      <w:bookmarkStart w:id="10" w:name="_Toc338745735"/>
      <w:r>
        <w:rPr>
          <w:rFonts w:hint="eastAsia" w:ascii="仿宋_GB2312" w:hAnsi="仿宋_GB2312" w:eastAsia="仿宋_GB2312" w:cs="仿宋_GB2312"/>
          <w:bCs/>
          <w:color w:val="auto"/>
          <w:kern w:val="0"/>
          <w:sz w:val="28"/>
          <w:szCs w:val="28"/>
          <w:highlight w:val="none"/>
          <w:lang w:val="en-US" w:eastAsia="zh-CN"/>
        </w:rPr>
        <w:t>1、</w:t>
      </w:r>
      <w:r>
        <w:rPr>
          <w:rFonts w:hint="eastAsia" w:ascii="仿宋_GB2312" w:hAnsi="仿宋_GB2312" w:eastAsia="仿宋_GB2312" w:cs="仿宋_GB2312"/>
          <w:bCs/>
          <w:color w:val="auto"/>
          <w:kern w:val="0"/>
          <w:sz w:val="28"/>
          <w:szCs w:val="28"/>
          <w:highlight w:val="none"/>
        </w:rPr>
        <w:t>组织机构</w:t>
      </w:r>
      <w:bookmarkEnd w:id="9"/>
      <w:bookmarkEnd w:id="10"/>
      <w:r>
        <w:rPr>
          <w:rFonts w:hint="eastAsia" w:ascii="仿宋_GB2312" w:hAnsi="仿宋_GB2312" w:eastAsia="仿宋_GB2312" w:cs="仿宋_GB2312"/>
          <w:bCs/>
          <w:color w:val="auto"/>
          <w:kern w:val="0"/>
          <w:sz w:val="28"/>
          <w:szCs w:val="28"/>
          <w:highlight w:val="none"/>
          <w:lang w:eastAsia="zh-CN"/>
        </w:rPr>
        <w:t>：</w:t>
      </w:r>
      <w:r>
        <w:rPr>
          <w:rFonts w:hint="eastAsia" w:ascii="仿宋_GB2312" w:hAnsi="仿宋_GB2312" w:eastAsia="仿宋_GB2312" w:cs="仿宋_GB2312"/>
          <w:bCs/>
          <w:color w:val="auto"/>
          <w:kern w:val="0"/>
          <w:sz w:val="28"/>
          <w:szCs w:val="28"/>
          <w:highlight w:val="none"/>
        </w:rPr>
        <w:t>为使项目按质、按量、按时及有序实施，</w:t>
      </w:r>
      <w:r>
        <w:rPr>
          <w:rFonts w:hint="eastAsia" w:ascii="仿宋_GB2312" w:hAnsi="仿宋_GB2312" w:eastAsia="仿宋_GB2312" w:cs="仿宋_GB2312"/>
          <w:bCs/>
          <w:color w:val="auto"/>
          <w:kern w:val="0"/>
          <w:sz w:val="28"/>
          <w:szCs w:val="28"/>
          <w:highlight w:val="none"/>
          <w:lang w:eastAsia="zh-CN"/>
        </w:rPr>
        <w:t>中标单位</w:t>
      </w:r>
      <w:r>
        <w:rPr>
          <w:rFonts w:hint="eastAsia" w:ascii="仿宋_GB2312" w:hAnsi="仿宋_GB2312" w:eastAsia="仿宋_GB2312" w:cs="仿宋_GB2312"/>
          <w:bCs/>
          <w:color w:val="auto"/>
          <w:kern w:val="0"/>
          <w:sz w:val="28"/>
          <w:szCs w:val="28"/>
          <w:highlight w:val="none"/>
        </w:rPr>
        <w:t>须建立一个完善和稳定的管理组织机构。</w:t>
      </w:r>
      <w:r>
        <w:rPr>
          <w:rFonts w:hint="eastAsia" w:ascii="仿宋_GB2312" w:hAnsi="仿宋_GB2312" w:eastAsia="仿宋_GB2312" w:cs="仿宋_GB2312"/>
          <w:bCs/>
          <w:color w:val="auto"/>
          <w:kern w:val="0"/>
          <w:sz w:val="28"/>
          <w:szCs w:val="28"/>
          <w:highlight w:val="none"/>
          <w:lang w:eastAsia="zh-CN"/>
        </w:rPr>
        <w:t>其中</w:t>
      </w:r>
      <w:r>
        <w:rPr>
          <w:rFonts w:hint="eastAsia" w:ascii="仿宋_GB2312" w:hAnsi="仿宋_GB2312" w:eastAsia="仿宋_GB2312" w:cs="仿宋_GB2312"/>
          <w:bCs/>
          <w:color w:val="auto"/>
          <w:kern w:val="0"/>
          <w:sz w:val="28"/>
          <w:szCs w:val="28"/>
          <w:highlight w:val="none"/>
        </w:rPr>
        <w:t>包括一名专职负责的项目经理。</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val="en-US" w:eastAsia="zh-CN"/>
        </w:rPr>
        <w:t>2、</w:t>
      </w:r>
      <w:r>
        <w:rPr>
          <w:rFonts w:hint="eastAsia" w:ascii="仿宋_GB2312" w:hAnsi="仿宋_GB2312" w:eastAsia="仿宋_GB2312" w:cs="仿宋_GB2312"/>
          <w:bCs/>
          <w:color w:val="auto"/>
          <w:kern w:val="0"/>
          <w:sz w:val="28"/>
          <w:szCs w:val="28"/>
          <w:highlight w:val="none"/>
        </w:rPr>
        <w:t>项目组人员须全程参与工作，不得挂名参与投标。本项目的项目经理必须具体负责项目的实施，在项目建设期内，</w:t>
      </w:r>
      <w:r>
        <w:rPr>
          <w:rFonts w:hint="eastAsia" w:ascii="仿宋_GB2312" w:hAnsi="仿宋_GB2312" w:eastAsia="仿宋_GB2312" w:cs="仿宋_GB2312"/>
          <w:bCs/>
          <w:color w:val="auto"/>
          <w:kern w:val="0"/>
          <w:sz w:val="28"/>
          <w:szCs w:val="28"/>
          <w:highlight w:val="none"/>
          <w:lang w:eastAsia="zh-CN"/>
        </w:rPr>
        <w:t>中标单位</w:t>
      </w:r>
      <w:r>
        <w:rPr>
          <w:rFonts w:hint="eastAsia" w:ascii="仿宋_GB2312" w:hAnsi="仿宋_GB2312" w:eastAsia="仿宋_GB2312" w:cs="仿宋_GB2312"/>
          <w:bCs/>
          <w:color w:val="auto"/>
          <w:kern w:val="0"/>
          <w:sz w:val="28"/>
          <w:szCs w:val="28"/>
          <w:highlight w:val="none"/>
        </w:rPr>
        <w:t>承诺的项目经理和项目实施的主要人员未经采购方同意不得调整；</w:t>
      </w:r>
      <w:r>
        <w:rPr>
          <w:rFonts w:hint="eastAsia" w:ascii="仿宋_GB2312" w:hAnsi="仿宋_GB2312" w:eastAsia="仿宋_GB2312" w:cs="仿宋_GB2312"/>
          <w:bCs/>
          <w:color w:val="auto"/>
          <w:kern w:val="0"/>
          <w:sz w:val="28"/>
          <w:szCs w:val="28"/>
          <w:highlight w:val="none"/>
          <w:lang w:eastAsia="zh-CN"/>
        </w:rPr>
        <w:t>中标单位</w:t>
      </w:r>
      <w:r>
        <w:rPr>
          <w:rFonts w:hint="eastAsia" w:ascii="仿宋_GB2312" w:hAnsi="仿宋_GB2312" w:eastAsia="仿宋_GB2312" w:cs="仿宋_GB2312"/>
          <w:bCs/>
          <w:color w:val="auto"/>
          <w:kern w:val="0"/>
          <w:sz w:val="28"/>
          <w:szCs w:val="28"/>
          <w:highlight w:val="none"/>
        </w:rPr>
        <w:t>如中途更换项目经理和主要技术人员，必须征得采购方同意。</w:t>
      </w:r>
    </w:p>
    <w:p>
      <w:pPr>
        <w:keepNext w:val="0"/>
        <w:keepLines w:val="0"/>
        <w:pageBreakBefore w:val="0"/>
        <w:widowControl w:val="0"/>
        <w:kinsoku/>
        <w:wordWrap/>
        <w:overflowPunct/>
        <w:topLinePunct w:val="0"/>
        <w:autoSpaceDE/>
        <w:autoSpaceDN/>
        <w:bidi w:val="0"/>
        <w:adjustRightInd w:val="0"/>
        <w:snapToGrid w:val="0"/>
        <w:spacing w:line="480" w:lineRule="exact"/>
        <w:ind w:firstLine="560" w:firstLineChars="200"/>
        <w:textAlignment w:val="auto"/>
        <w:rPr>
          <w:rFonts w:hint="eastAsia" w:ascii="仿宋_GB2312" w:hAnsi="仿宋_GB2312" w:eastAsia="仿宋_GB2312" w:cs="仿宋_GB2312"/>
          <w:bCs/>
          <w:color w:val="auto"/>
          <w:kern w:val="0"/>
          <w:sz w:val="28"/>
          <w:szCs w:val="28"/>
          <w:highlight w:val="none"/>
        </w:rPr>
      </w:pPr>
      <w:r>
        <w:rPr>
          <w:rFonts w:hint="eastAsia" w:ascii="仿宋_GB2312" w:hAnsi="仿宋_GB2312" w:eastAsia="仿宋_GB2312" w:cs="仿宋_GB2312"/>
          <w:bCs/>
          <w:color w:val="auto"/>
          <w:kern w:val="0"/>
          <w:sz w:val="28"/>
          <w:szCs w:val="28"/>
          <w:highlight w:val="none"/>
          <w:lang w:val="en-US" w:eastAsia="zh-CN"/>
        </w:rPr>
        <w:t>3、</w:t>
      </w:r>
      <w:r>
        <w:rPr>
          <w:rFonts w:hint="eastAsia" w:ascii="仿宋_GB2312" w:hAnsi="仿宋_GB2312" w:eastAsia="仿宋_GB2312" w:cs="仿宋_GB2312"/>
          <w:bCs/>
          <w:color w:val="auto"/>
          <w:kern w:val="0"/>
          <w:sz w:val="28"/>
          <w:szCs w:val="28"/>
          <w:highlight w:val="none"/>
        </w:rPr>
        <w:t>本项目采用费用包干方式建设，投标人应根据项目要求及需要，详细列明项目所需的所有费用，应包括完成合同范围的全部工作内容所发生的全部费用——人工、管理、财务、培训、后续服务等所有费用，如一旦中标，在项目实施中出现任何遗漏，均由中标人免费提供，采购人不再支付任何费用。</w:t>
      </w:r>
    </w:p>
    <w:p>
      <w:pPr>
        <w:keepNext w:val="0"/>
        <w:keepLines w:val="0"/>
        <w:pageBreakBefore w:val="0"/>
        <w:widowControl w:val="0"/>
        <w:kinsoku/>
        <w:wordWrap/>
        <w:overflowPunct/>
        <w:topLinePunct w:val="0"/>
        <w:autoSpaceDE/>
        <w:autoSpaceDN/>
        <w:bidi w:val="0"/>
        <w:adjustRightInd w:val="0"/>
        <w:snapToGrid w:val="0"/>
        <w:spacing w:line="480" w:lineRule="exact"/>
        <w:ind w:firstLine="492" w:firstLineChars="175"/>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b/>
          <w:color w:val="auto"/>
          <w:sz w:val="28"/>
          <w:szCs w:val="28"/>
          <w:highlight w:val="none"/>
        </w:rPr>
        <w:t>注：</w:t>
      </w:r>
      <w:r>
        <w:rPr>
          <w:rFonts w:hint="eastAsia" w:ascii="仿宋_GB2312" w:hAnsi="仿宋_GB2312" w:eastAsia="仿宋_GB2312" w:cs="仿宋_GB2312"/>
          <w:b/>
          <w:color w:val="auto"/>
          <w:kern w:val="0"/>
          <w:sz w:val="28"/>
          <w:szCs w:val="28"/>
          <w:highlight w:val="none"/>
        </w:rPr>
        <w:t>在磋商过程中，磋商文件可能发生实质性变动的技术、服务要求以及合同草案条款，请在可能变动的条款旁予以文字注明，并将磋商文件可能变动的内容在磋商须知前附表中明确。</w:t>
      </w:r>
    </w:p>
    <w:p>
      <w:pPr>
        <w:adjustRightInd w:val="0"/>
        <w:snapToGrid w:val="0"/>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br w:type="page"/>
      </w:r>
    </w:p>
    <w:p>
      <w:pPr>
        <w:adjustRightInd w:val="0"/>
        <w:snapToGrid w:val="0"/>
        <w:spacing w:beforeLines="50" w:line="360" w:lineRule="auto"/>
        <w:ind w:left="420" w:leftChars="200"/>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第四章  政府采购合同协议书</w:t>
      </w:r>
    </w:p>
    <w:p>
      <w:pPr>
        <w:ind w:firstLine="4536" w:firstLineChars="1620"/>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color w:val="auto"/>
          <w:sz w:val="28"/>
          <w:szCs w:val="28"/>
          <w:highlight w:val="none"/>
        </w:rPr>
        <w:t>采购合同编号：</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u w:val="single"/>
        </w:rPr>
        <w:tab/>
      </w:r>
      <w:r>
        <w:rPr>
          <w:rFonts w:hint="eastAsia" w:ascii="仿宋_GB2312" w:hAnsi="仿宋_GB2312" w:eastAsia="仿宋_GB2312" w:cs="仿宋_GB2312"/>
          <w:color w:val="auto"/>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z w:val="28"/>
          <w:szCs w:val="28"/>
          <w:highlight w:val="none"/>
        </w:rPr>
        <w:t>采</w:t>
      </w:r>
      <w:r>
        <w:rPr>
          <w:rFonts w:hint="eastAsia" w:ascii="仿宋_GB2312" w:hAnsi="仿宋_GB2312" w:eastAsia="仿宋_GB2312" w:cs="仿宋_GB2312"/>
          <w:color w:val="auto"/>
          <w:spacing w:val="0"/>
          <w:sz w:val="28"/>
          <w:szCs w:val="28"/>
          <w:highlight w:val="none"/>
        </w:rPr>
        <w:t>购人（全称）：</w:t>
      </w:r>
      <w:r>
        <w:rPr>
          <w:rFonts w:hint="eastAsia" w:ascii="仿宋_GB2312" w:hAnsi="仿宋_GB2312" w:eastAsia="仿宋_GB2312" w:cs="仿宋_GB2312"/>
          <w:color w:val="auto"/>
          <w:spacing w:val="0"/>
          <w:sz w:val="28"/>
          <w:szCs w:val="28"/>
          <w:highlight w:val="none"/>
          <w:u w:val="single"/>
        </w:rPr>
        <w:t xml:space="preserve"> 湖南湘江新区管理委员会</w:t>
      </w:r>
      <w:r>
        <w:rPr>
          <w:rFonts w:hint="eastAsia" w:ascii="仿宋_GB2312" w:hAnsi="仿宋_GB2312" w:eastAsia="仿宋_GB2312" w:cs="仿宋_GB2312"/>
          <w:color w:val="auto"/>
          <w:spacing w:val="0"/>
          <w:sz w:val="28"/>
          <w:szCs w:val="28"/>
          <w:highlight w:val="none"/>
        </w:rPr>
        <w:t>（甲方）</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供应商（全称）：</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rPr>
        <w:t>（乙方）</w:t>
      </w:r>
    </w:p>
    <w:p>
      <w:pPr>
        <w:pStyle w:val="8"/>
        <w:keepNext w:val="0"/>
        <w:keepLines w:val="0"/>
        <w:pageBreakBefore w:val="0"/>
        <w:widowControl w:val="0"/>
        <w:kinsoku/>
        <w:wordWrap/>
        <w:overflowPunct/>
        <w:topLinePunct w:val="0"/>
        <w:autoSpaceDE/>
        <w:autoSpaceDN/>
        <w:bidi w:val="0"/>
        <w:adjustRightInd w:val="0"/>
        <w:snapToGrid w:val="0"/>
        <w:spacing w:after="0" w:line="520" w:lineRule="exact"/>
        <w:ind w:left="31680"/>
        <w:textAlignment w:val="auto"/>
        <w:rPr>
          <w:rFonts w:hint="eastAsia" w:ascii="仿宋_GB2312" w:hAnsi="仿宋_GB2312" w:eastAsia="仿宋_GB2312" w:cs="仿宋_GB2312"/>
          <w:color w:val="auto"/>
          <w:spacing w:val="0"/>
          <w:sz w:val="28"/>
          <w:szCs w:val="28"/>
          <w:highlight w:val="none"/>
        </w:rPr>
      </w:pPr>
    </w:p>
    <w:p>
      <w:pPr>
        <w:pStyle w:val="8"/>
        <w:keepNext w:val="0"/>
        <w:keepLines w:val="0"/>
        <w:pageBreakBefore w:val="0"/>
        <w:widowControl w:val="0"/>
        <w:kinsoku/>
        <w:wordWrap/>
        <w:overflowPunct/>
        <w:topLinePunct w:val="0"/>
        <w:autoSpaceDE/>
        <w:autoSpaceDN/>
        <w:bidi w:val="0"/>
        <w:adjustRightInd w:val="0"/>
        <w:snapToGrid w:val="0"/>
        <w:spacing w:after="0" w:line="520" w:lineRule="exact"/>
        <w:ind w:left="0" w:leftChars="0"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为了保护甲、乙双方合法权益，根据《中华人民共和国合同法》、《中华人民共和国政府采购法》及其他有关法律、法规、规章，双方签订本合同协议书。</w:t>
      </w:r>
    </w:p>
    <w:p>
      <w:pPr>
        <w:keepNext w:val="0"/>
        <w:keepLines w:val="0"/>
        <w:pageBreakBefore w:val="0"/>
        <w:widowControl w:val="0"/>
        <w:kinsoku/>
        <w:wordWrap/>
        <w:overflowPunct/>
        <w:topLinePunct w:val="0"/>
        <w:autoSpaceDE/>
        <w:autoSpaceDN/>
        <w:bidi w:val="0"/>
        <w:adjustRightInd w:val="0"/>
        <w:snapToGrid w:val="0"/>
        <w:spacing w:line="520" w:lineRule="exact"/>
        <w:ind w:firstLine="562" w:firstLineChars="200"/>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1.项目信息</w:t>
      </w:r>
    </w:p>
    <w:p>
      <w:pPr>
        <w:pStyle w:val="8"/>
        <w:keepNext w:val="0"/>
        <w:keepLines w:val="0"/>
        <w:pageBreakBefore w:val="0"/>
        <w:widowControl w:val="0"/>
        <w:kinsoku/>
        <w:wordWrap/>
        <w:overflowPunct/>
        <w:topLinePunct w:val="0"/>
        <w:autoSpaceDE/>
        <w:autoSpaceDN/>
        <w:bidi w:val="0"/>
        <w:adjustRightInd w:val="0"/>
        <w:snapToGrid w:val="0"/>
        <w:spacing w:after="0" w:line="520" w:lineRule="exact"/>
        <w:ind w:left="31680"/>
        <w:textAlignment w:val="auto"/>
        <w:rPr>
          <w:rFonts w:hint="eastAsia" w:ascii="仿宋_GB2312" w:hAnsi="仿宋_GB2312" w:eastAsia="仿宋_GB2312" w:cs="仿宋_GB2312"/>
          <w:color w:val="auto"/>
          <w:spacing w:val="0"/>
          <w:sz w:val="28"/>
          <w:szCs w:val="28"/>
          <w:highlight w:val="none"/>
          <w:lang w:eastAsia="zh-CN"/>
        </w:rPr>
      </w:pPr>
      <w:r>
        <w:rPr>
          <w:rFonts w:hint="eastAsia" w:ascii="仿宋_GB2312" w:hAnsi="仿宋_GB2312" w:eastAsia="仿宋_GB2312" w:cs="仿宋_GB2312"/>
          <w:color w:val="auto"/>
          <w:spacing w:val="0"/>
          <w:sz w:val="28"/>
          <w:szCs w:val="28"/>
          <w:highlight w:val="none"/>
        </w:rPr>
        <w:t>（1）采购项目名称：</w:t>
      </w:r>
      <w:r>
        <w:rPr>
          <w:rFonts w:hint="eastAsia" w:ascii="仿宋_GB2312" w:hAnsi="仿宋_GB2312" w:eastAsia="仿宋_GB2312" w:cs="仿宋_GB2312"/>
          <w:color w:val="auto"/>
          <w:spacing w:val="0"/>
          <w:sz w:val="28"/>
          <w:szCs w:val="28"/>
          <w:highlight w:val="none"/>
          <w:u w:val="single"/>
          <w:lang w:eastAsia="zh-CN"/>
        </w:rPr>
        <w:t>湖南湘江新区管理委员会财政局湖南金融中心三维演示系统（二期）更新项目</w:t>
      </w:r>
    </w:p>
    <w:p>
      <w:pPr>
        <w:pStyle w:val="8"/>
        <w:keepNext w:val="0"/>
        <w:keepLines w:val="0"/>
        <w:pageBreakBefore w:val="0"/>
        <w:widowControl w:val="0"/>
        <w:kinsoku/>
        <w:wordWrap/>
        <w:overflowPunct/>
        <w:topLinePunct w:val="0"/>
        <w:autoSpaceDE/>
        <w:autoSpaceDN/>
        <w:bidi w:val="0"/>
        <w:adjustRightInd w:val="0"/>
        <w:snapToGrid w:val="0"/>
        <w:spacing w:after="0" w:line="520" w:lineRule="exact"/>
        <w:ind w:left="31680"/>
        <w:textAlignment w:val="auto"/>
        <w:rPr>
          <w:rFonts w:hint="eastAsia" w:ascii="仿宋_GB2312" w:hAnsi="仿宋_GB2312" w:eastAsia="仿宋_GB2312" w:cs="仿宋_GB2312"/>
          <w:color w:val="auto"/>
          <w:spacing w:val="0"/>
          <w:sz w:val="28"/>
          <w:szCs w:val="28"/>
          <w:highlight w:val="none"/>
          <w:lang w:val="en-US" w:eastAsia="zh-CN"/>
        </w:rPr>
      </w:pPr>
      <w:r>
        <w:rPr>
          <w:rFonts w:hint="eastAsia" w:ascii="仿宋_GB2312" w:hAnsi="仿宋_GB2312" w:eastAsia="仿宋_GB2312" w:cs="仿宋_GB2312"/>
          <w:color w:val="auto"/>
          <w:spacing w:val="0"/>
          <w:sz w:val="28"/>
          <w:szCs w:val="28"/>
          <w:highlight w:val="none"/>
        </w:rPr>
        <w:t>（2）采购计划编号：</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lang w:val="en-US" w:eastAsia="zh-CN"/>
        </w:rPr>
        <w:tab/>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420" w:firstLineChars="15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（3）项目内容：</w:t>
      </w:r>
      <w:r>
        <w:rPr>
          <w:rFonts w:hint="eastAsia" w:ascii="仿宋_GB2312" w:hAnsi="仿宋_GB2312" w:eastAsia="仿宋_GB2312" w:cs="仿宋_GB2312"/>
          <w:color w:val="auto"/>
          <w:spacing w:val="0"/>
          <w:sz w:val="28"/>
          <w:szCs w:val="28"/>
          <w:highlight w:val="none"/>
          <w:u w:val="single"/>
          <w:lang w:eastAsia="zh-CN"/>
        </w:rPr>
        <w:t>湖南金融中心三维演示系统（二期）更新</w:t>
      </w:r>
    </w:p>
    <w:p>
      <w:pPr>
        <w:keepNext w:val="0"/>
        <w:keepLines w:val="0"/>
        <w:pageBreakBefore w:val="0"/>
        <w:widowControl w:val="0"/>
        <w:kinsoku/>
        <w:wordWrap/>
        <w:overflowPunct/>
        <w:topLinePunct w:val="0"/>
        <w:autoSpaceDE/>
        <w:autoSpaceDN/>
        <w:bidi w:val="0"/>
        <w:adjustRightInd w:val="0"/>
        <w:snapToGrid w:val="0"/>
        <w:spacing w:line="520" w:lineRule="exact"/>
        <w:ind w:firstLine="1120" w:firstLineChars="4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承包范围：</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rPr>
        <w:t>项目经理：</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lang w:val="en-US" w:eastAsia="zh-CN"/>
        </w:rPr>
        <w:t xml:space="preserve">  </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ind w:firstLine="551" w:firstLineChars="196"/>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2.合同金额</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420" w:firstLineChars="15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（1）合同金额小写：</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r>
        <w:rPr>
          <w:rFonts w:hint="eastAsia" w:ascii="仿宋_GB2312" w:hAnsi="仿宋_GB2312" w:eastAsia="仿宋_GB2312" w:cs="仿宋_GB2312"/>
          <w:color w:val="auto"/>
          <w:spacing w:val="0"/>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2259" w:firstLineChars="807"/>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color w:val="auto"/>
          <w:spacing w:val="0"/>
          <w:sz w:val="28"/>
          <w:szCs w:val="28"/>
          <w:highlight w:val="none"/>
        </w:rPr>
        <w:t>大写：</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lang w:val="en-US" w:eastAsia="zh-CN"/>
        </w:rPr>
        <w:t xml:space="preserve"> </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r>
        <w:rPr>
          <w:rFonts w:hint="eastAsia" w:ascii="仿宋_GB2312" w:hAnsi="仿宋_GB2312" w:eastAsia="仿宋_GB2312" w:cs="仿宋_GB2312"/>
          <w:color w:val="auto"/>
          <w:spacing w:val="0"/>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420" w:firstLineChars="15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（2）具体标的见附件。</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420" w:firstLineChars="15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（3）合同价格形式：</w:t>
      </w:r>
      <w:r>
        <w:rPr>
          <w:rFonts w:hint="eastAsia" w:ascii="仿宋_GB2312" w:hAnsi="仿宋_GB2312" w:eastAsia="仿宋_GB2312" w:cs="仿宋_GB2312"/>
          <w:color w:val="auto"/>
          <w:spacing w:val="0"/>
          <w:sz w:val="28"/>
          <w:szCs w:val="28"/>
          <w:highlight w:val="none"/>
          <w:u w:val="single"/>
        </w:rPr>
        <w:t>固定总价合同</w:t>
      </w:r>
      <w:r>
        <w:rPr>
          <w:rFonts w:hint="eastAsia" w:ascii="仿宋_GB2312" w:hAnsi="仿宋_GB2312" w:eastAsia="仿宋_GB2312" w:cs="仿宋_GB2312"/>
          <w:color w:val="auto"/>
          <w:spacing w:val="0"/>
          <w:sz w:val="28"/>
          <w:szCs w:val="28"/>
          <w:highlight w:val="none"/>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562" w:firstLineChars="200"/>
        <w:textAlignment w:val="auto"/>
        <w:rPr>
          <w:rFonts w:hint="eastAsia" w:ascii="仿宋_GB2312" w:hAnsi="仿宋_GB2312" w:eastAsia="仿宋_GB2312" w:cs="仿宋_GB2312"/>
          <w:color w:val="auto"/>
          <w:spacing w:val="0"/>
          <w:sz w:val="28"/>
          <w:szCs w:val="28"/>
          <w:highlight w:val="none"/>
          <w:u w:val="single"/>
        </w:rPr>
      </w:pPr>
      <w:r>
        <w:rPr>
          <w:rFonts w:hint="eastAsia" w:ascii="仿宋_GB2312" w:hAnsi="仿宋_GB2312" w:eastAsia="仿宋_GB2312" w:cs="仿宋_GB2312"/>
          <w:b/>
          <w:color w:val="auto"/>
          <w:spacing w:val="0"/>
          <w:sz w:val="28"/>
          <w:szCs w:val="28"/>
          <w:highlight w:val="none"/>
        </w:rPr>
        <w:t>3.履行合同的时间、地点及方式</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638" w:firstLineChars="228"/>
        <w:textAlignment w:val="auto"/>
        <w:outlineLvl w:val="9"/>
        <w:rPr>
          <w:rFonts w:hint="eastAsia" w:ascii="仿宋_GB2312" w:hAnsi="仿宋_GB2312" w:eastAsia="仿宋_GB2312" w:cs="仿宋_GB2312"/>
          <w:color w:val="auto"/>
          <w:spacing w:val="0"/>
          <w:sz w:val="28"/>
          <w:szCs w:val="28"/>
          <w:highlight w:val="none"/>
          <w:u w:val="none"/>
          <w:lang w:eastAsia="zh-CN"/>
        </w:rPr>
      </w:pPr>
      <w:r>
        <w:rPr>
          <w:rFonts w:hint="eastAsia" w:ascii="仿宋_GB2312" w:hAnsi="仿宋_GB2312" w:eastAsia="仿宋_GB2312" w:cs="仿宋_GB2312"/>
          <w:color w:val="auto"/>
          <w:spacing w:val="0"/>
          <w:sz w:val="28"/>
          <w:szCs w:val="28"/>
          <w:highlight w:val="none"/>
          <w:u w:val="none"/>
        </w:rPr>
        <w:t>时间：中标通知书发出后5个工作日内启动项目</w:t>
      </w:r>
      <w:r>
        <w:rPr>
          <w:rFonts w:hint="eastAsia" w:ascii="仿宋_GB2312" w:hAnsi="仿宋_GB2312" w:eastAsia="仿宋_GB2312" w:cs="仿宋_GB2312"/>
          <w:color w:val="auto"/>
          <w:spacing w:val="0"/>
          <w:sz w:val="28"/>
          <w:szCs w:val="28"/>
          <w:highlight w:val="none"/>
          <w:u w:val="none"/>
          <w:lang w:eastAsia="zh-CN"/>
        </w:rPr>
        <w:t>，</w:t>
      </w:r>
      <w:r>
        <w:rPr>
          <w:rFonts w:hint="eastAsia" w:ascii="仿宋_GB2312" w:hAnsi="仿宋_GB2312" w:eastAsia="仿宋_GB2312" w:cs="仿宋_GB2312"/>
          <w:color w:val="auto"/>
          <w:sz w:val="32"/>
          <w:szCs w:val="32"/>
          <w:highlight w:val="none"/>
          <w:lang w:eastAsia="zh-CN"/>
        </w:rPr>
        <w:t>在3个月内完成三维演示系统提升工作整体计划，三维数据动态维护与更新持续到2019年12月</w:t>
      </w:r>
      <w:r>
        <w:rPr>
          <w:rFonts w:hint="eastAsia" w:ascii="仿宋_GB2312" w:hAnsi="仿宋_GB2312" w:eastAsia="仿宋_GB2312" w:cs="仿宋_GB2312"/>
          <w:color w:val="auto"/>
          <w:spacing w:val="0"/>
          <w:sz w:val="28"/>
          <w:szCs w:val="28"/>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638" w:firstLineChars="228"/>
        <w:textAlignment w:val="auto"/>
        <w:outlineLvl w:val="9"/>
        <w:rPr>
          <w:rFonts w:hint="eastAsia" w:ascii="仿宋_GB2312" w:hAnsi="仿宋_GB2312" w:eastAsia="仿宋_GB2312" w:cs="仿宋_GB2312"/>
          <w:color w:val="auto"/>
          <w:spacing w:val="0"/>
          <w:sz w:val="28"/>
          <w:szCs w:val="28"/>
          <w:highlight w:val="none"/>
          <w:u w:val="none"/>
          <w:lang w:eastAsia="zh-CN"/>
        </w:rPr>
      </w:pPr>
      <w:r>
        <w:rPr>
          <w:rFonts w:hint="eastAsia" w:ascii="仿宋_GB2312" w:hAnsi="仿宋_GB2312" w:eastAsia="仿宋_GB2312" w:cs="仿宋_GB2312"/>
          <w:color w:val="auto"/>
          <w:spacing w:val="0"/>
          <w:sz w:val="28"/>
          <w:szCs w:val="28"/>
          <w:highlight w:val="none"/>
          <w:u w:val="none"/>
        </w:rPr>
        <w:t>地点：湖南湘江新区管理委员会</w:t>
      </w:r>
      <w:r>
        <w:rPr>
          <w:rFonts w:hint="eastAsia" w:ascii="仿宋_GB2312" w:hAnsi="仿宋_GB2312" w:eastAsia="仿宋_GB2312" w:cs="仿宋_GB2312"/>
          <w:color w:val="auto"/>
          <w:spacing w:val="0"/>
          <w:sz w:val="28"/>
          <w:szCs w:val="28"/>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638" w:firstLineChars="228"/>
        <w:textAlignment w:val="auto"/>
        <w:outlineLvl w:val="9"/>
        <w:rPr>
          <w:rFonts w:hint="eastAsia" w:ascii="仿宋_GB2312" w:hAnsi="仿宋_GB2312" w:eastAsia="仿宋_GB2312" w:cs="仿宋_GB2312"/>
          <w:color w:val="auto"/>
          <w:spacing w:val="0"/>
          <w:sz w:val="28"/>
          <w:szCs w:val="28"/>
          <w:highlight w:val="none"/>
          <w:u w:val="none"/>
        </w:rPr>
      </w:pPr>
      <w:r>
        <w:rPr>
          <w:rFonts w:hint="eastAsia" w:ascii="仿宋_GB2312" w:hAnsi="仿宋_GB2312" w:eastAsia="仿宋_GB2312" w:cs="仿宋_GB2312"/>
          <w:color w:val="auto"/>
          <w:spacing w:val="0"/>
          <w:sz w:val="28"/>
          <w:szCs w:val="28"/>
          <w:highlight w:val="none"/>
          <w:u w:val="none"/>
        </w:rPr>
        <w:t>方式：中标人负责整个项目的实施。</w:t>
      </w:r>
    </w:p>
    <w:p>
      <w:pPr>
        <w:keepNext w:val="0"/>
        <w:keepLines w:val="0"/>
        <w:pageBreakBefore w:val="0"/>
        <w:widowControl w:val="0"/>
        <w:kinsoku/>
        <w:wordWrap/>
        <w:overflowPunct/>
        <w:topLinePunct w:val="0"/>
        <w:autoSpaceDE/>
        <w:autoSpaceDN/>
        <w:bidi w:val="0"/>
        <w:adjustRightInd w:val="0"/>
        <w:snapToGrid w:val="0"/>
        <w:spacing w:line="520" w:lineRule="exact"/>
        <w:ind w:firstLine="562" w:firstLineChars="200"/>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4.付款：</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420" w:firstLineChars="150"/>
        <w:textAlignment w:val="auto"/>
        <w:outlineLvl w:val="0"/>
        <w:rPr>
          <w:rFonts w:hint="eastAsia" w:ascii="仿宋_GB2312" w:hAnsi="仿宋_GB2312" w:eastAsia="仿宋_GB2312" w:cs="仿宋_GB2312"/>
          <w:bCs/>
          <w:color w:val="auto"/>
          <w:spacing w:val="0"/>
          <w:kern w:val="0"/>
          <w:sz w:val="28"/>
          <w:szCs w:val="28"/>
          <w:highlight w:val="none"/>
        </w:rPr>
      </w:pPr>
      <w:r>
        <w:rPr>
          <w:rFonts w:hint="eastAsia" w:ascii="仿宋_GB2312" w:hAnsi="仿宋_GB2312" w:eastAsia="仿宋_GB2312" w:cs="仿宋_GB2312"/>
          <w:bCs/>
          <w:color w:val="auto"/>
          <w:spacing w:val="0"/>
          <w:kern w:val="0"/>
          <w:sz w:val="28"/>
          <w:szCs w:val="28"/>
          <w:highlight w:val="none"/>
          <w:lang w:eastAsia="zh-CN"/>
        </w:rPr>
        <w:t>（</w:t>
      </w:r>
      <w:r>
        <w:rPr>
          <w:rFonts w:hint="eastAsia" w:ascii="仿宋_GB2312" w:hAnsi="仿宋_GB2312" w:eastAsia="仿宋_GB2312" w:cs="仿宋_GB2312"/>
          <w:bCs/>
          <w:color w:val="auto"/>
          <w:spacing w:val="0"/>
          <w:kern w:val="0"/>
          <w:sz w:val="28"/>
          <w:szCs w:val="28"/>
          <w:highlight w:val="none"/>
          <w:lang w:val="en-US" w:eastAsia="zh-CN"/>
        </w:rPr>
        <w:t>1</w:t>
      </w:r>
      <w:r>
        <w:rPr>
          <w:rFonts w:hint="eastAsia" w:ascii="仿宋_GB2312" w:hAnsi="仿宋_GB2312" w:eastAsia="仿宋_GB2312" w:cs="仿宋_GB2312"/>
          <w:bCs/>
          <w:color w:val="auto"/>
          <w:spacing w:val="0"/>
          <w:kern w:val="0"/>
          <w:sz w:val="28"/>
          <w:szCs w:val="28"/>
          <w:highlight w:val="none"/>
          <w:lang w:eastAsia="zh-CN"/>
        </w:rPr>
        <w:t>）</w:t>
      </w:r>
      <w:r>
        <w:rPr>
          <w:rFonts w:hint="eastAsia" w:ascii="仿宋_GB2312" w:hAnsi="仿宋_GB2312" w:eastAsia="仿宋_GB2312" w:cs="仿宋_GB2312"/>
          <w:bCs/>
          <w:color w:val="auto"/>
          <w:spacing w:val="0"/>
          <w:kern w:val="0"/>
          <w:sz w:val="28"/>
          <w:szCs w:val="28"/>
          <w:highlight w:val="none"/>
        </w:rPr>
        <w:t>付款人：湖南湘江新区管理委员会</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420" w:firstLineChars="15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bCs/>
          <w:color w:val="auto"/>
          <w:spacing w:val="0"/>
          <w:kern w:val="0"/>
          <w:sz w:val="28"/>
          <w:szCs w:val="28"/>
          <w:highlight w:val="none"/>
          <w:lang w:eastAsia="zh-CN"/>
        </w:rPr>
        <w:t>（</w:t>
      </w:r>
      <w:r>
        <w:rPr>
          <w:rFonts w:hint="eastAsia" w:ascii="仿宋_GB2312" w:hAnsi="仿宋_GB2312" w:eastAsia="仿宋_GB2312" w:cs="仿宋_GB2312"/>
          <w:bCs/>
          <w:color w:val="auto"/>
          <w:spacing w:val="0"/>
          <w:kern w:val="0"/>
          <w:sz w:val="28"/>
          <w:szCs w:val="28"/>
          <w:highlight w:val="none"/>
          <w:lang w:val="en-US" w:eastAsia="zh-CN"/>
        </w:rPr>
        <w:t>2</w:t>
      </w:r>
      <w:r>
        <w:rPr>
          <w:rFonts w:hint="eastAsia" w:ascii="仿宋_GB2312" w:hAnsi="仿宋_GB2312" w:eastAsia="仿宋_GB2312" w:cs="仿宋_GB2312"/>
          <w:bCs/>
          <w:color w:val="auto"/>
          <w:spacing w:val="0"/>
          <w:kern w:val="0"/>
          <w:sz w:val="28"/>
          <w:szCs w:val="28"/>
          <w:highlight w:val="none"/>
          <w:lang w:eastAsia="zh-CN"/>
        </w:rPr>
        <w:t>）</w:t>
      </w:r>
      <w:r>
        <w:rPr>
          <w:rFonts w:hint="eastAsia" w:ascii="仿宋_GB2312" w:hAnsi="仿宋_GB2312" w:eastAsia="仿宋_GB2312" w:cs="仿宋_GB2312"/>
          <w:bCs/>
          <w:color w:val="auto"/>
          <w:spacing w:val="0"/>
          <w:kern w:val="0"/>
          <w:sz w:val="28"/>
          <w:szCs w:val="28"/>
          <w:highlight w:val="none"/>
        </w:rPr>
        <w:t>付款方式：合同签订后7个工作日内，支付合同款的30%，软件产品安装部署后7个工作日内，支付合同款的40%，正式成果验收通过后7个工作日内，支付余款30%。</w:t>
      </w:r>
    </w:p>
    <w:p>
      <w:pPr>
        <w:keepNext w:val="0"/>
        <w:keepLines w:val="0"/>
        <w:pageBreakBefore w:val="0"/>
        <w:widowControl w:val="0"/>
        <w:kinsoku/>
        <w:wordWrap/>
        <w:overflowPunct/>
        <w:topLinePunct w:val="0"/>
        <w:autoSpaceDE/>
        <w:autoSpaceDN/>
        <w:bidi w:val="0"/>
        <w:adjustRightInd w:val="0"/>
        <w:snapToGrid w:val="0"/>
        <w:spacing w:line="520" w:lineRule="exact"/>
        <w:ind w:firstLine="562" w:firstLineChars="200"/>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5.解决合同纠纷方式</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首先通过双方协商解</w:t>
      </w:r>
      <w:r>
        <w:rPr>
          <w:rFonts w:hint="eastAsia" w:ascii="仿宋_GB2312" w:hAnsi="仿宋_GB2312" w:eastAsia="仿宋_GB2312" w:cs="仿宋_GB2312"/>
          <w:color w:val="auto"/>
          <w:spacing w:val="-11"/>
          <w:sz w:val="28"/>
          <w:szCs w:val="28"/>
          <w:highlight w:val="none"/>
        </w:rPr>
        <w:t>决，协商解决不成，则通过</w:t>
      </w:r>
      <w:r>
        <w:rPr>
          <w:rFonts w:hint="eastAsia" w:ascii="仿宋_GB2312" w:hAnsi="仿宋_GB2312" w:eastAsia="仿宋_GB2312" w:cs="仿宋_GB2312"/>
          <w:color w:val="auto"/>
          <w:spacing w:val="0"/>
          <w:sz w:val="28"/>
          <w:szCs w:val="28"/>
          <w:highlight w:val="none"/>
        </w:rPr>
        <w:t>以下途径之一解决纠纷：</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firstLine="518" w:firstLineChars="185"/>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 xml:space="preserve">□ 提请仲裁       </w:t>
      </w:r>
      <w:r>
        <w:rPr>
          <w:rFonts w:hint="eastAsia" w:ascii="仿宋_GB2312" w:hAnsi="仿宋_GB2312" w:eastAsia="仿宋_GB2312" w:cs="仿宋_GB2312"/>
          <w:color w:val="auto"/>
          <w:spacing w:val="0"/>
          <w:sz w:val="28"/>
          <w:szCs w:val="28"/>
          <w:highlight w:val="none"/>
        </w:rPr>
        <w:sym w:font="Wingdings 2" w:char="F052"/>
      </w:r>
      <w:r>
        <w:rPr>
          <w:rFonts w:hint="eastAsia" w:ascii="仿宋_GB2312" w:hAnsi="仿宋_GB2312" w:eastAsia="仿宋_GB2312" w:cs="仿宋_GB2312"/>
          <w:color w:val="auto"/>
          <w:spacing w:val="0"/>
          <w:sz w:val="28"/>
          <w:szCs w:val="28"/>
          <w:highlight w:val="none"/>
        </w:rPr>
        <w:t xml:space="preserve"> 向采购人所在地人民法院提起诉讼</w:t>
      </w:r>
    </w:p>
    <w:p>
      <w:pPr>
        <w:keepNext w:val="0"/>
        <w:keepLines w:val="0"/>
        <w:pageBreakBefore w:val="0"/>
        <w:widowControl w:val="0"/>
        <w:kinsoku/>
        <w:wordWrap/>
        <w:overflowPunct/>
        <w:topLinePunct w:val="0"/>
        <w:autoSpaceDE/>
        <w:autoSpaceDN/>
        <w:bidi w:val="0"/>
        <w:adjustRightInd w:val="0"/>
        <w:snapToGrid w:val="0"/>
        <w:spacing w:line="520" w:lineRule="exact"/>
        <w:ind w:firstLine="562" w:firstLineChars="200"/>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6.组成合同的文件</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本协议书与下列文件一起构成合同文件，如下述文件之间有任何抵触、矛盾或歧义，应按以下顺序解释：</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（1）在采购或合同履行过程中乙方作出的承诺以及双方协商达成的变更或补充协议</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（2）成交通知书</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（3）响应文件</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（4）政府采购合同格式条款及其附件</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（5）专用合同条款</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（6）通用合同条款（如果有）</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（7）标准、规范及有关技术文件，图纸，已标价工程量清单或预算书（如果有）</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（8）其他合同文件。</w:t>
      </w:r>
    </w:p>
    <w:p>
      <w:pPr>
        <w:keepNext w:val="0"/>
        <w:keepLines w:val="0"/>
        <w:pageBreakBefore w:val="0"/>
        <w:widowControl w:val="0"/>
        <w:kinsoku/>
        <w:wordWrap/>
        <w:overflowPunct/>
        <w:topLinePunct w:val="0"/>
        <w:autoSpaceDE/>
        <w:autoSpaceDN/>
        <w:bidi w:val="0"/>
        <w:adjustRightInd w:val="0"/>
        <w:snapToGrid w:val="0"/>
        <w:spacing w:line="520" w:lineRule="exact"/>
        <w:ind w:firstLine="413" w:firstLineChars="147"/>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7.合同生效</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本合同自</w:t>
      </w:r>
      <w:r>
        <w:rPr>
          <w:rFonts w:hint="eastAsia" w:ascii="仿宋_GB2312" w:hAnsi="仿宋_GB2312" w:eastAsia="仿宋_GB2312" w:cs="仿宋_GB2312"/>
          <w:color w:val="auto"/>
          <w:spacing w:val="0"/>
          <w:sz w:val="28"/>
          <w:szCs w:val="28"/>
          <w:highlight w:val="none"/>
          <w:u w:val="single"/>
        </w:rPr>
        <w:t xml:space="preserve"> 双方签字盖章后 </w:t>
      </w:r>
      <w:r>
        <w:rPr>
          <w:rFonts w:hint="eastAsia" w:ascii="仿宋_GB2312" w:hAnsi="仿宋_GB2312" w:eastAsia="仿宋_GB2312" w:cs="仿宋_GB2312"/>
          <w:color w:val="auto"/>
          <w:spacing w:val="0"/>
          <w:sz w:val="28"/>
          <w:szCs w:val="28"/>
          <w:highlight w:val="none"/>
        </w:rPr>
        <w:t>生效。</w:t>
      </w:r>
    </w:p>
    <w:p>
      <w:pPr>
        <w:keepNext w:val="0"/>
        <w:keepLines w:val="0"/>
        <w:pageBreakBefore w:val="0"/>
        <w:widowControl w:val="0"/>
        <w:kinsoku/>
        <w:wordWrap/>
        <w:overflowPunct/>
        <w:topLinePunct w:val="0"/>
        <w:autoSpaceDE/>
        <w:autoSpaceDN/>
        <w:bidi w:val="0"/>
        <w:adjustRightInd w:val="0"/>
        <w:snapToGrid w:val="0"/>
        <w:spacing w:line="520" w:lineRule="exact"/>
        <w:ind w:firstLine="413" w:firstLineChars="147"/>
        <w:textAlignment w:val="auto"/>
        <w:rPr>
          <w:rFonts w:hint="eastAsia" w:ascii="仿宋_GB2312" w:hAnsi="仿宋_GB2312" w:eastAsia="仿宋_GB2312" w:cs="仿宋_GB2312"/>
          <w:b/>
          <w:color w:val="auto"/>
          <w:spacing w:val="0"/>
          <w:sz w:val="28"/>
          <w:szCs w:val="28"/>
          <w:highlight w:val="none"/>
        </w:rPr>
      </w:pPr>
      <w:r>
        <w:rPr>
          <w:rFonts w:hint="eastAsia" w:ascii="仿宋_GB2312" w:hAnsi="仿宋_GB2312" w:eastAsia="仿宋_GB2312" w:cs="仿宋_GB2312"/>
          <w:b/>
          <w:color w:val="auto"/>
          <w:spacing w:val="0"/>
          <w:sz w:val="28"/>
          <w:szCs w:val="28"/>
          <w:highlight w:val="none"/>
        </w:rPr>
        <w:t>8.合同份数</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本合同</w:t>
      </w:r>
      <w:r>
        <w:rPr>
          <w:rFonts w:hint="eastAsia" w:ascii="仿宋_GB2312" w:hAnsi="仿宋_GB2312" w:eastAsia="仿宋_GB2312" w:cs="仿宋_GB2312"/>
          <w:color w:val="auto"/>
          <w:spacing w:val="-11"/>
          <w:sz w:val="28"/>
          <w:szCs w:val="28"/>
          <w:highlight w:val="none"/>
        </w:rPr>
        <w:t>一式</w:t>
      </w:r>
      <w:r>
        <w:rPr>
          <w:rFonts w:hint="eastAsia" w:ascii="仿宋_GB2312" w:hAnsi="仿宋_GB2312" w:eastAsia="仿宋_GB2312" w:cs="仿宋_GB2312"/>
          <w:color w:val="auto"/>
          <w:spacing w:val="-11"/>
          <w:sz w:val="28"/>
          <w:szCs w:val="28"/>
          <w:highlight w:val="none"/>
          <w:u w:val="single"/>
          <w:lang w:eastAsia="zh-CN"/>
        </w:rPr>
        <w:t>肆</w:t>
      </w:r>
      <w:r>
        <w:rPr>
          <w:rFonts w:hint="eastAsia" w:ascii="仿宋_GB2312" w:hAnsi="仿宋_GB2312" w:eastAsia="仿宋_GB2312" w:cs="仿宋_GB2312"/>
          <w:color w:val="auto"/>
          <w:spacing w:val="-11"/>
          <w:sz w:val="28"/>
          <w:szCs w:val="28"/>
          <w:highlight w:val="none"/>
        </w:rPr>
        <w:t>份，采购人执</w:t>
      </w:r>
      <w:r>
        <w:rPr>
          <w:rFonts w:hint="eastAsia" w:ascii="仿宋_GB2312" w:hAnsi="仿宋_GB2312" w:eastAsia="仿宋_GB2312" w:cs="仿宋_GB2312"/>
          <w:color w:val="auto"/>
          <w:spacing w:val="-11"/>
          <w:sz w:val="28"/>
          <w:szCs w:val="28"/>
          <w:highlight w:val="none"/>
          <w:u w:val="single"/>
          <w:lang w:eastAsia="zh-CN"/>
        </w:rPr>
        <w:t>贰</w:t>
      </w:r>
      <w:r>
        <w:rPr>
          <w:rFonts w:hint="eastAsia" w:ascii="仿宋_GB2312" w:hAnsi="仿宋_GB2312" w:eastAsia="仿宋_GB2312" w:cs="仿宋_GB2312"/>
          <w:color w:val="auto"/>
          <w:spacing w:val="-11"/>
          <w:sz w:val="28"/>
          <w:szCs w:val="28"/>
          <w:highlight w:val="none"/>
        </w:rPr>
        <w:t>份，供应商执</w:t>
      </w:r>
      <w:r>
        <w:rPr>
          <w:rFonts w:hint="eastAsia" w:ascii="仿宋_GB2312" w:hAnsi="仿宋_GB2312" w:eastAsia="仿宋_GB2312" w:cs="仿宋_GB2312"/>
          <w:color w:val="auto"/>
          <w:spacing w:val="-11"/>
          <w:sz w:val="28"/>
          <w:szCs w:val="28"/>
          <w:highlight w:val="none"/>
          <w:u w:val="single"/>
          <w:lang w:eastAsia="zh-CN"/>
        </w:rPr>
        <w:t>贰</w:t>
      </w:r>
      <w:r>
        <w:rPr>
          <w:rFonts w:hint="eastAsia" w:ascii="仿宋_GB2312" w:hAnsi="仿宋_GB2312" w:eastAsia="仿宋_GB2312" w:cs="仿宋_GB2312"/>
          <w:color w:val="auto"/>
          <w:spacing w:val="-11"/>
          <w:sz w:val="28"/>
          <w:szCs w:val="28"/>
          <w:highlight w:val="none"/>
        </w:rPr>
        <w:t>份，均具</w:t>
      </w:r>
      <w:r>
        <w:rPr>
          <w:rFonts w:hint="eastAsia" w:ascii="仿宋_GB2312" w:hAnsi="仿宋_GB2312" w:eastAsia="仿宋_GB2312" w:cs="仿宋_GB2312"/>
          <w:color w:val="auto"/>
          <w:spacing w:val="0"/>
          <w:sz w:val="28"/>
          <w:szCs w:val="28"/>
          <w:highlight w:val="none"/>
        </w:rPr>
        <w:t>有同等法律效力。</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合同订立时间：</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rPr>
        <w:t>年</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rPr>
        <w:t>月</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rPr>
        <w:t>日</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u w:val="single"/>
        </w:rPr>
      </w:pPr>
      <w:r>
        <w:rPr>
          <w:rFonts w:hint="eastAsia" w:ascii="仿宋_GB2312" w:hAnsi="仿宋_GB2312" w:eastAsia="仿宋_GB2312" w:cs="仿宋_GB2312"/>
          <w:color w:val="auto"/>
          <w:spacing w:val="0"/>
          <w:sz w:val="28"/>
          <w:szCs w:val="28"/>
          <w:highlight w:val="none"/>
        </w:rPr>
        <w:t>合同订立地点：</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r>
        <w:rPr>
          <w:rFonts w:hint="eastAsia" w:ascii="仿宋_GB2312" w:hAnsi="仿宋_GB2312" w:eastAsia="仿宋_GB2312" w:cs="仿宋_GB2312"/>
          <w:color w:val="auto"/>
          <w:spacing w:val="0"/>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u w:val="single"/>
        </w:rPr>
      </w:pPr>
    </w:p>
    <w:tbl>
      <w:tblPr>
        <w:tblStyle w:val="29"/>
        <w:tblW w:w="8952" w:type="dxa"/>
        <w:tblInd w:w="108" w:type="dxa"/>
        <w:tblLayout w:type="fixed"/>
        <w:tblCellMar>
          <w:top w:w="0" w:type="dxa"/>
          <w:left w:w="108" w:type="dxa"/>
          <w:bottom w:w="0" w:type="dxa"/>
          <w:right w:w="108" w:type="dxa"/>
        </w:tblCellMar>
      </w:tblPr>
      <w:tblGrid>
        <w:gridCol w:w="4874"/>
        <w:gridCol w:w="4078"/>
      </w:tblGrid>
      <w:tr>
        <w:tblPrEx>
          <w:tblLayout w:type="fixed"/>
          <w:tblCellMar>
            <w:top w:w="0" w:type="dxa"/>
            <w:left w:w="108" w:type="dxa"/>
            <w:bottom w:w="0" w:type="dxa"/>
            <w:right w:w="108" w:type="dxa"/>
          </w:tblCellMar>
        </w:tblPrEx>
        <w:trPr>
          <w:cantSplit/>
          <w:trHeight w:val="3049" w:hRule="atLeast"/>
        </w:trPr>
        <w:tc>
          <w:tcPr>
            <w:tcW w:w="4874" w:type="dxa"/>
          </w:tcPr>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ascii="仿宋_GB2312" w:hAnsi="仿宋_GB2312" w:eastAsia="仿宋_GB2312" w:cs="仿宋_GB2312"/>
                <w:color w:val="auto"/>
                <w:spacing w:val="0"/>
                <w:sz w:val="28"/>
                <w:szCs w:val="28"/>
                <w:highlight w:val="none"/>
              </w:rPr>
            </w:pP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甲方（盖章）：</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法定代表人：</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委托代理人：</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u w:val="single"/>
              </w:rPr>
            </w:pPr>
            <w:r>
              <w:rPr>
                <w:rFonts w:hint="eastAsia" w:ascii="仿宋_GB2312" w:hAnsi="仿宋_GB2312" w:eastAsia="仿宋_GB2312" w:cs="仿宋_GB2312"/>
                <w:color w:val="auto"/>
                <w:spacing w:val="0"/>
                <w:sz w:val="28"/>
                <w:szCs w:val="28"/>
                <w:highlight w:val="none"/>
              </w:rPr>
              <w:t>联系电话：</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单位地址：</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tc>
        <w:tc>
          <w:tcPr>
            <w:tcW w:w="4078" w:type="dxa"/>
          </w:tcPr>
          <w:p>
            <w:pPr>
              <w:keepNext w:val="0"/>
              <w:keepLines w:val="0"/>
              <w:pageBreakBefore w:val="0"/>
              <w:widowControl w:val="0"/>
              <w:kinsoku/>
              <w:wordWrap/>
              <w:overflowPunct/>
              <w:topLinePunct w:val="0"/>
              <w:autoSpaceDE/>
              <w:autoSpaceDN/>
              <w:bidi w:val="0"/>
              <w:adjustRightInd w:val="0"/>
              <w:snapToGrid w:val="0"/>
              <w:spacing w:line="520" w:lineRule="exact"/>
              <w:ind w:firstLine="585" w:firstLineChars="209"/>
              <w:textAlignment w:val="auto"/>
              <w:rPr>
                <w:rFonts w:hint="eastAsia" w:ascii="仿宋_GB2312" w:hAnsi="仿宋_GB2312" w:eastAsia="仿宋_GB2312" w:cs="仿宋_GB2312"/>
                <w:color w:val="auto"/>
                <w:spacing w:val="0"/>
                <w:sz w:val="28"/>
                <w:szCs w:val="28"/>
                <w:highlight w:val="none"/>
              </w:rPr>
            </w:pPr>
          </w:p>
          <w:p>
            <w:pPr>
              <w:keepNext w:val="0"/>
              <w:keepLines w:val="0"/>
              <w:pageBreakBefore w:val="0"/>
              <w:widowControl w:val="0"/>
              <w:kinsoku/>
              <w:wordWrap/>
              <w:overflowPunct/>
              <w:topLinePunct w:val="0"/>
              <w:autoSpaceDE/>
              <w:autoSpaceDN/>
              <w:bidi w:val="0"/>
              <w:adjustRightInd w:val="0"/>
              <w:snapToGrid w:val="0"/>
              <w:spacing w:line="520" w:lineRule="exact"/>
              <w:ind w:firstLine="11" w:firstLineChars="4"/>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乙方（盖章）：</w:t>
            </w:r>
          </w:p>
          <w:p>
            <w:pPr>
              <w:keepNext w:val="0"/>
              <w:keepLines w:val="0"/>
              <w:pageBreakBefore w:val="0"/>
              <w:widowControl w:val="0"/>
              <w:kinsoku/>
              <w:wordWrap/>
              <w:overflowPunct/>
              <w:topLinePunct w:val="0"/>
              <w:autoSpaceDE/>
              <w:autoSpaceDN/>
              <w:bidi w:val="0"/>
              <w:adjustRightInd w:val="0"/>
              <w:snapToGrid w:val="0"/>
              <w:spacing w:line="520" w:lineRule="exact"/>
              <w:ind w:firstLine="11" w:firstLineChars="4"/>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法定代表人：</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p>
            <w:pPr>
              <w:keepNext w:val="0"/>
              <w:keepLines w:val="0"/>
              <w:pageBreakBefore w:val="0"/>
              <w:widowControl w:val="0"/>
              <w:kinsoku/>
              <w:wordWrap/>
              <w:overflowPunct/>
              <w:topLinePunct w:val="0"/>
              <w:autoSpaceDE/>
              <w:autoSpaceDN/>
              <w:bidi w:val="0"/>
              <w:adjustRightInd w:val="0"/>
              <w:snapToGrid w:val="0"/>
              <w:spacing w:line="520" w:lineRule="exact"/>
              <w:ind w:firstLine="11" w:firstLineChars="4"/>
              <w:textAlignment w:val="auto"/>
              <w:rPr>
                <w:rFonts w:hint="eastAsia" w:ascii="仿宋_GB2312" w:hAnsi="仿宋_GB2312" w:eastAsia="仿宋_GB2312" w:cs="仿宋_GB2312"/>
                <w:color w:val="auto"/>
                <w:spacing w:val="0"/>
                <w:sz w:val="28"/>
                <w:szCs w:val="28"/>
                <w:highlight w:val="none"/>
              </w:rPr>
            </w:pPr>
            <w:r>
              <w:rPr>
                <w:rFonts w:hint="eastAsia" w:ascii="仿宋_GB2312" w:hAnsi="仿宋_GB2312" w:eastAsia="仿宋_GB2312" w:cs="仿宋_GB2312"/>
                <w:color w:val="auto"/>
                <w:spacing w:val="0"/>
                <w:sz w:val="28"/>
                <w:szCs w:val="28"/>
                <w:highlight w:val="none"/>
              </w:rPr>
              <w:t>委托代理人：</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p>
            <w:pPr>
              <w:keepNext w:val="0"/>
              <w:keepLines w:val="0"/>
              <w:pageBreakBefore w:val="0"/>
              <w:widowControl w:val="0"/>
              <w:kinsoku/>
              <w:wordWrap/>
              <w:overflowPunct/>
              <w:topLinePunct w:val="0"/>
              <w:autoSpaceDE/>
              <w:autoSpaceDN/>
              <w:bidi w:val="0"/>
              <w:adjustRightInd w:val="0"/>
              <w:snapToGrid w:val="0"/>
              <w:spacing w:line="520" w:lineRule="exact"/>
              <w:ind w:firstLine="11" w:firstLineChars="4"/>
              <w:textAlignment w:val="auto"/>
              <w:rPr>
                <w:rFonts w:hint="eastAsia" w:ascii="仿宋_GB2312" w:hAnsi="仿宋_GB2312" w:eastAsia="仿宋_GB2312" w:cs="仿宋_GB2312"/>
                <w:color w:val="auto"/>
                <w:spacing w:val="0"/>
                <w:sz w:val="28"/>
                <w:szCs w:val="28"/>
                <w:highlight w:val="none"/>
                <w:u w:val="single"/>
              </w:rPr>
            </w:pPr>
            <w:r>
              <w:rPr>
                <w:rFonts w:hint="eastAsia" w:ascii="仿宋_GB2312" w:hAnsi="仿宋_GB2312" w:eastAsia="仿宋_GB2312" w:cs="仿宋_GB2312"/>
                <w:color w:val="auto"/>
                <w:spacing w:val="0"/>
                <w:sz w:val="28"/>
                <w:szCs w:val="28"/>
                <w:highlight w:val="none"/>
              </w:rPr>
              <w:t>联系电话：</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p>
            <w:pPr>
              <w:keepNext w:val="0"/>
              <w:keepLines w:val="0"/>
              <w:pageBreakBefore w:val="0"/>
              <w:widowControl w:val="0"/>
              <w:kinsoku/>
              <w:wordWrap/>
              <w:overflowPunct/>
              <w:topLinePunct w:val="0"/>
              <w:autoSpaceDE/>
              <w:autoSpaceDN/>
              <w:bidi w:val="0"/>
              <w:adjustRightInd w:val="0"/>
              <w:snapToGrid w:val="0"/>
              <w:spacing w:line="520" w:lineRule="exact"/>
              <w:ind w:firstLine="11" w:firstLineChars="4"/>
              <w:textAlignment w:val="auto"/>
              <w:rPr>
                <w:rFonts w:hint="eastAsia" w:ascii="仿宋_GB2312" w:hAnsi="仿宋_GB2312" w:eastAsia="仿宋_GB2312" w:cs="仿宋_GB2312"/>
                <w:color w:val="auto"/>
                <w:spacing w:val="0"/>
                <w:sz w:val="28"/>
                <w:szCs w:val="28"/>
                <w:highlight w:val="none"/>
                <w:u w:val="single"/>
              </w:rPr>
            </w:pPr>
            <w:r>
              <w:rPr>
                <w:rFonts w:hint="eastAsia" w:ascii="仿宋_GB2312" w:hAnsi="仿宋_GB2312" w:eastAsia="仿宋_GB2312" w:cs="仿宋_GB2312"/>
                <w:color w:val="auto"/>
                <w:spacing w:val="0"/>
                <w:sz w:val="28"/>
                <w:szCs w:val="28"/>
                <w:highlight w:val="none"/>
              </w:rPr>
              <w:t>单位地址：</w:t>
            </w:r>
            <w:r>
              <w:rPr>
                <w:rFonts w:hint="eastAsia" w:ascii="仿宋_GB2312" w:hAnsi="仿宋_GB2312" w:eastAsia="仿宋_GB2312" w:cs="仿宋_GB2312"/>
                <w:color w:val="auto"/>
                <w:spacing w:val="0"/>
                <w:sz w:val="28"/>
                <w:szCs w:val="28"/>
                <w:highlight w:val="none"/>
                <w:u w:val="single"/>
              </w:rPr>
              <w:t xml:space="preserve">             </w:t>
            </w:r>
            <w:r>
              <w:rPr>
                <w:rFonts w:hint="eastAsia" w:ascii="仿宋_GB2312" w:hAnsi="仿宋_GB2312" w:eastAsia="仿宋_GB2312" w:cs="仿宋_GB2312"/>
                <w:color w:val="auto"/>
                <w:spacing w:val="0"/>
                <w:sz w:val="28"/>
                <w:szCs w:val="28"/>
                <w:highlight w:val="none"/>
                <w:u w:val="single"/>
              </w:rPr>
              <w:tab/>
            </w:r>
          </w:p>
        </w:tc>
      </w:tr>
    </w:tbl>
    <w:p>
      <w:pPr>
        <w:adjustRightInd w:val="0"/>
        <w:snapToGrid w:val="0"/>
        <w:spacing w:line="360" w:lineRule="auto"/>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1"/>
          <w:highlight w:val="none"/>
          <w:u w:val="single"/>
        </w:rPr>
        <w:br w:type="page"/>
      </w:r>
      <w:r>
        <w:rPr>
          <w:rFonts w:hint="eastAsia" w:ascii="仿宋_GB2312" w:hAnsi="仿宋_GB2312" w:eastAsia="仿宋_GB2312" w:cs="仿宋_GB2312"/>
          <w:b/>
          <w:color w:val="auto"/>
          <w:sz w:val="32"/>
          <w:szCs w:val="32"/>
          <w:highlight w:val="none"/>
        </w:rPr>
        <w:t>第五章 响应文件组成</w:t>
      </w:r>
    </w:p>
    <w:p>
      <w:pPr>
        <w:spacing w:line="360" w:lineRule="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供应商的响应文件应包含以下</w:t>
      </w:r>
      <w:r>
        <w:rPr>
          <w:rFonts w:hint="eastAsia" w:ascii="仿宋_GB2312" w:hAnsi="仿宋_GB2312" w:eastAsia="仿宋_GB2312" w:cs="仿宋_GB2312"/>
          <w:color w:val="auto"/>
          <w:sz w:val="28"/>
          <w:szCs w:val="28"/>
          <w:highlight w:val="none"/>
          <w:lang w:eastAsia="zh-CN"/>
        </w:rPr>
        <w:t>九</w:t>
      </w:r>
      <w:r>
        <w:rPr>
          <w:rFonts w:hint="eastAsia" w:ascii="仿宋_GB2312" w:hAnsi="仿宋_GB2312" w:eastAsia="仿宋_GB2312" w:cs="仿宋_GB2312"/>
          <w:color w:val="auto"/>
          <w:sz w:val="28"/>
          <w:szCs w:val="28"/>
          <w:highlight w:val="none"/>
        </w:rPr>
        <w:t>部分：</w:t>
      </w:r>
    </w:p>
    <w:p>
      <w:pPr>
        <w:adjustRightInd w:val="0"/>
        <w:snapToGrid w:val="0"/>
        <w:spacing w:line="360" w:lineRule="auto"/>
        <w:jc w:val="left"/>
        <w:outlineLvl w:val="0"/>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rPr>
        <w:t>一、磋商响应声明</w:t>
      </w:r>
    </w:p>
    <w:p>
      <w:pPr>
        <w:adjustRightInd w:val="0"/>
        <w:snapToGrid w:val="0"/>
        <w:spacing w:line="360" w:lineRule="auto"/>
        <w:ind w:firstLine="560" w:firstLineChars="200"/>
        <w:jc w:val="left"/>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附件1：法定代表人身份证明</w:t>
      </w:r>
    </w:p>
    <w:p>
      <w:pPr>
        <w:adjustRightInd w:val="0"/>
        <w:snapToGrid w:val="0"/>
        <w:spacing w:line="360" w:lineRule="auto"/>
        <w:ind w:firstLine="560" w:firstLineChars="200"/>
        <w:jc w:val="left"/>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附件2：法定代表人授权委托书</w:t>
      </w:r>
    </w:p>
    <w:p>
      <w:pPr>
        <w:numPr>
          <w:ilvl w:val="0"/>
          <w:numId w:val="8"/>
        </w:numPr>
        <w:adjustRightInd w:val="0"/>
        <w:snapToGrid w:val="0"/>
        <w:spacing w:line="360" w:lineRule="auto"/>
        <w:jc w:val="left"/>
        <w:outlineLvl w:val="0"/>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rPr>
        <w:t>保证金</w:t>
      </w:r>
    </w:p>
    <w:p>
      <w:pPr>
        <w:adjustRightInd w:val="0"/>
        <w:snapToGrid w:val="0"/>
        <w:spacing w:line="360" w:lineRule="auto"/>
        <w:jc w:val="left"/>
        <w:outlineLvl w:val="0"/>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eastAsia="zh-CN"/>
        </w:rPr>
        <w:t>三</w:t>
      </w:r>
      <w:r>
        <w:rPr>
          <w:rFonts w:hint="eastAsia" w:ascii="仿宋_GB2312" w:hAnsi="仿宋_GB2312" w:eastAsia="仿宋_GB2312" w:cs="仿宋_GB2312"/>
          <w:b/>
          <w:color w:val="auto"/>
          <w:sz w:val="28"/>
          <w:szCs w:val="28"/>
          <w:highlight w:val="none"/>
        </w:rPr>
        <w:t>、供应商的资格证明资料</w:t>
      </w:r>
    </w:p>
    <w:p>
      <w:pPr>
        <w:adjustRightInd w:val="0"/>
        <w:snapToGrid w:val="0"/>
        <w:spacing w:line="360" w:lineRule="auto"/>
        <w:ind w:firstLine="560" w:firstLineChars="200"/>
        <w:jc w:val="left"/>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附件3：供应商基本情况表</w:t>
      </w:r>
    </w:p>
    <w:p>
      <w:pPr>
        <w:adjustRightInd w:val="0"/>
        <w:snapToGrid w:val="0"/>
        <w:spacing w:line="360" w:lineRule="auto"/>
        <w:ind w:firstLine="560" w:firstLineChars="200"/>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附件4：磋商文件规定的基本资格条件证明资料</w:t>
      </w:r>
    </w:p>
    <w:p>
      <w:pPr>
        <w:adjustRightInd w:val="0"/>
        <w:snapToGrid w:val="0"/>
        <w:spacing w:line="360" w:lineRule="auto"/>
        <w:ind w:firstLine="560" w:firstLineChars="200"/>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附件5：磋商文件规定的特定资格条件证明资料</w:t>
      </w:r>
    </w:p>
    <w:p>
      <w:pPr>
        <w:adjustRightInd w:val="0"/>
        <w:snapToGrid w:val="0"/>
        <w:spacing w:line="360" w:lineRule="auto"/>
        <w:ind w:firstLine="560" w:firstLineChars="200"/>
        <w:outlineLvl w:val="0"/>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附件6：其他证明资料或说明</w:t>
      </w:r>
    </w:p>
    <w:p>
      <w:pPr>
        <w:pStyle w:val="9"/>
        <w:adjustRightInd w:val="0"/>
        <w:snapToGrid w:val="0"/>
        <w:spacing w:line="360" w:lineRule="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eastAsia="zh-CN"/>
        </w:rPr>
        <w:t>四</w:t>
      </w:r>
      <w:r>
        <w:rPr>
          <w:rFonts w:hint="eastAsia" w:ascii="仿宋_GB2312" w:hAnsi="仿宋_GB2312" w:eastAsia="仿宋_GB2312" w:cs="仿宋_GB2312"/>
          <w:b/>
          <w:color w:val="auto"/>
          <w:sz w:val="28"/>
          <w:szCs w:val="28"/>
          <w:highlight w:val="none"/>
        </w:rPr>
        <w:t>、技术/商务响应与偏离表</w:t>
      </w:r>
    </w:p>
    <w:p>
      <w:pPr>
        <w:pStyle w:val="9"/>
        <w:adjustRightInd w:val="0"/>
        <w:snapToGrid w:val="0"/>
        <w:spacing w:line="360" w:lineRule="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eastAsia="zh-CN"/>
        </w:rPr>
        <w:t>五</w:t>
      </w:r>
      <w:r>
        <w:rPr>
          <w:rFonts w:hint="eastAsia" w:ascii="仿宋_GB2312" w:hAnsi="仿宋_GB2312" w:eastAsia="仿宋_GB2312" w:cs="仿宋_GB2312"/>
          <w:b/>
          <w:color w:val="auto"/>
          <w:sz w:val="28"/>
          <w:szCs w:val="28"/>
          <w:highlight w:val="none"/>
        </w:rPr>
        <w:t>、技术方案</w:t>
      </w:r>
    </w:p>
    <w:p>
      <w:pPr>
        <w:pStyle w:val="9"/>
        <w:adjustRightInd w:val="0"/>
        <w:snapToGrid w:val="0"/>
        <w:spacing w:line="360" w:lineRule="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eastAsia="zh-CN"/>
        </w:rPr>
        <w:t>六</w:t>
      </w:r>
      <w:r>
        <w:rPr>
          <w:rFonts w:hint="eastAsia" w:ascii="仿宋_GB2312" w:hAnsi="仿宋_GB2312" w:eastAsia="仿宋_GB2312" w:cs="仿宋_GB2312"/>
          <w:b/>
          <w:color w:val="auto"/>
          <w:sz w:val="28"/>
          <w:szCs w:val="28"/>
          <w:highlight w:val="none"/>
        </w:rPr>
        <w:t>、中小企业声明函</w:t>
      </w:r>
    </w:p>
    <w:p>
      <w:pPr>
        <w:pStyle w:val="9"/>
        <w:adjustRightInd w:val="0"/>
        <w:snapToGrid w:val="0"/>
        <w:spacing w:line="360" w:lineRule="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eastAsia="zh-CN"/>
        </w:rPr>
        <w:t>七</w:t>
      </w:r>
      <w:r>
        <w:rPr>
          <w:rFonts w:hint="eastAsia" w:ascii="仿宋_GB2312" w:hAnsi="仿宋_GB2312" w:eastAsia="仿宋_GB2312" w:cs="仿宋_GB2312"/>
          <w:b/>
          <w:color w:val="auto"/>
          <w:sz w:val="28"/>
          <w:szCs w:val="28"/>
          <w:highlight w:val="none"/>
        </w:rPr>
        <w:t>、报价一览表及分项价格表</w:t>
      </w:r>
    </w:p>
    <w:p>
      <w:pPr>
        <w:adjustRightInd w:val="0"/>
        <w:snapToGrid w:val="0"/>
        <w:spacing w:line="360" w:lineRule="auto"/>
        <w:ind w:firstLine="560" w:firstLineChars="200"/>
        <w:jc w:val="left"/>
        <w:outlineLvl w:val="0"/>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color w:val="auto"/>
          <w:sz w:val="28"/>
          <w:szCs w:val="28"/>
          <w:highlight w:val="none"/>
        </w:rPr>
        <w:t>附件7：</w:t>
      </w:r>
      <w:r>
        <w:rPr>
          <w:rFonts w:hint="eastAsia" w:ascii="仿宋_GB2312" w:hAnsi="仿宋_GB2312" w:eastAsia="仿宋_GB2312" w:cs="仿宋_GB2312"/>
          <w:bCs/>
          <w:color w:val="auto"/>
          <w:sz w:val="28"/>
          <w:szCs w:val="28"/>
          <w:highlight w:val="none"/>
        </w:rPr>
        <w:t>报价一览表</w:t>
      </w:r>
    </w:p>
    <w:p>
      <w:pPr>
        <w:adjustRightInd w:val="0"/>
        <w:snapToGrid w:val="0"/>
        <w:spacing w:line="360" w:lineRule="auto"/>
        <w:ind w:firstLine="560" w:firstLineChars="200"/>
        <w:jc w:val="left"/>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bCs/>
          <w:color w:val="auto"/>
          <w:sz w:val="28"/>
          <w:szCs w:val="28"/>
          <w:highlight w:val="none"/>
        </w:rPr>
        <w:t>附件7-1：分项价格表</w:t>
      </w:r>
    </w:p>
    <w:p>
      <w:pPr>
        <w:adjustRightInd w:val="0"/>
        <w:snapToGrid w:val="0"/>
        <w:spacing w:line="360" w:lineRule="auto"/>
        <w:jc w:val="left"/>
        <w:outlineLvl w:val="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b/>
          <w:color w:val="auto"/>
          <w:sz w:val="28"/>
          <w:szCs w:val="28"/>
          <w:highlight w:val="none"/>
          <w:lang w:eastAsia="zh-CN"/>
        </w:rPr>
        <w:t>八</w:t>
      </w:r>
      <w:r>
        <w:rPr>
          <w:rFonts w:hint="eastAsia" w:ascii="仿宋_GB2312" w:hAnsi="仿宋_GB2312" w:eastAsia="仿宋_GB2312" w:cs="仿宋_GB2312"/>
          <w:b/>
          <w:color w:val="auto"/>
          <w:sz w:val="28"/>
          <w:szCs w:val="28"/>
          <w:highlight w:val="none"/>
        </w:rPr>
        <w:t>、供应商认为需提供的其它资料</w:t>
      </w:r>
    </w:p>
    <w:p>
      <w:pPr>
        <w:pStyle w:val="9"/>
        <w:adjustRightInd w:val="0"/>
        <w:snapToGrid w:val="0"/>
        <w:spacing w:line="360" w:lineRule="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eastAsia="zh-CN"/>
        </w:rPr>
        <w:t>九</w:t>
      </w:r>
      <w:r>
        <w:rPr>
          <w:rFonts w:hint="eastAsia" w:ascii="仿宋_GB2312" w:hAnsi="仿宋_GB2312" w:eastAsia="仿宋_GB2312" w:cs="仿宋_GB2312"/>
          <w:b/>
          <w:color w:val="auto"/>
          <w:sz w:val="28"/>
          <w:szCs w:val="28"/>
          <w:highlight w:val="none"/>
        </w:rPr>
        <w:t>、最后报价</w:t>
      </w:r>
    </w:p>
    <w:p>
      <w:pPr>
        <w:pStyle w:val="9"/>
        <w:adjustRightInd w:val="0"/>
        <w:snapToGrid w:val="0"/>
        <w:spacing w:line="360" w:lineRule="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br w:type="page"/>
      </w:r>
    </w:p>
    <w:p>
      <w:pPr>
        <w:pStyle w:val="9"/>
        <w:adjustRightInd w:val="0"/>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32"/>
          <w:szCs w:val="32"/>
          <w:highlight w:val="none"/>
        </w:rPr>
        <w:t>一、磋商响应声明</w:t>
      </w:r>
    </w:p>
    <w:p>
      <w:pPr>
        <w:adjustRightInd w:val="0"/>
        <w:snapToGrid w:val="0"/>
        <w:spacing w:line="360" w:lineRule="auto"/>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致</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(采购人或采购代理机构)：</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我方已仔细研究了</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项目名称)的竞争性磋商文件（政府采购编号：</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；采购代理编号：</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）的全部内容，</w:t>
      </w:r>
      <w:r>
        <w:rPr>
          <w:rFonts w:hint="eastAsia" w:ascii="仿宋_GB2312" w:hAnsi="仿宋_GB2312" w:eastAsia="仿宋_GB2312" w:cs="仿宋_GB2312"/>
          <w:color w:val="auto"/>
          <w:highlight w:val="none"/>
        </w:rPr>
        <w:t>知悉参加竞争性磋商的风险，我方承诺接受磋商文件的全部条款且无任何异议。</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一、我方同意在磋商文件中规定的提交首次响应文件截止时间起</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日内(响应文件有效期)遵守本响应文件中的承诺且在此期限期满之前均具有法律约束力。</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二、我方提交响应文件正本一份和副本一式</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份，并保证响应文件提供的数据和资料全部内容真实、合法、准确和完整，我们对此负责，并愿承担由此引起的法律责任。</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三、我方愿意向贵方提供任何与本项采购有关的数据、情况和技术资料。若贵方需要，我方愿意提供我方作出的一切承诺的证明资料。</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四、我方愿意按磋商文件规定和磋商小组要求重新提交响应文件和最后报价。</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五、我方承诺遵守《中华人民共和国政府采购法》的有关规</w:t>
      </w:r>
      <w:r>
        <w:rPr>
          <w:rFonts w:hint="eastAsia" w:ascii="仿宋_GB2312" w:hAnsi="仿宋_GB2312" w:eastAsia="仿宋_GB2312" w:cs="仿宋_GB2312"/>
          <w:color w:val="auto"/>
          <w:spacing w:val="-6"/>
          <w:highlight w:val="none"/>
        </w:rPr>
        <w:t>定，保证在获得成交资格后，按照磋商文件确定的事项签订政府采购合同，履行双方所签订的合同，并</w:t>
      </w:r>
      <w:r>
        <w:rPr>
          <w:rFonts w:hint="eastAsia" w:ascii="仿宋_GB2312" w:hAnsi="仿宋_GB2312" w:eastAsia="仿宋_GB2312" w:cs="仿宋_GB2312"/>
          <w:color w:val="auto"/>
          <w:highlight w:val="none"/>
        </w:rPr>
        <w:t>承担合同规定的责任和义务。</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 xml:space="preserve">六、我方在此声明： </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（一）我方与采购人或采购代理机构不存在隶属关系或者其他利害关系。</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（二）我方与参加本项目的其他供应商不存在直接控股、管理关系，或者与其他供应商法定代表人（或者负责人）为同一人。</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（三）我方未为本项目前期准备提供设计或咨询服务。</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（四）我方承诺（承诺期：成立三年以上的，为提交首次响应文件截止时间前三年内；成立不足三年的，为实际时间）：</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1、我方依法缴纳了各项税费及各项社会保障资金，没有偷税、漏税及欠缴行为。</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2、我方在经营活动中没有存在下列重大违法记录：</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(1)受到刑事处罚；</w:t>
      </w:r>
    </w:p>
    <w:p>
      <w:pPr>
        <w:pStyle w:val="9"/>
        <w:adjustRightInd w:val="0"/>
        <w:snapToGrid w:val="0"/>
        <w:spacing w:line="360" w:lineRule="auto"/>
        <w:ind w:firstLine="42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(2)受到三万元以上的罚款、责令停产停业、在一至三年内禁止参加政府采购活动、暂扣或者吊销许可证、暂扣或者吊销执照的行政处罚。</w:t>
      </w:r>
    </w:p>
    <w:p>
      <w:pPr>
        <w:adjustRightInd w:val="0"/>
        <w:snapToGrid w:val="0"/>
        <w:spacing w:line="360" w:lineRule="auto"/>
        <w:ind w:right="24"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bCs/>
          <w:color w:val="auto"/>
          <w:szCs w:val="21"/>
          <w:highlight w:val="none"/>
        </w:rPr>
        <w:t>附件1：</w:t>
      </w:r>
      <w:r>
        <w:rPr>
          <w:rFonts w:hint="eastAsia" w:ascii="仿宋_GB2312" w:hAnsi="仿宋_GB2312" w:eastAsia="仿宋_GB2312" w:cs="仿宋_GB2312"/>
          <w:color w:val="auto"/>
          <w:szCs w:val="21"/>
          <w:highlight w:val="none"/>
        </w:rPr>
        <w:t>法定代表人身份证明</w:t>
      </w:r>
    </w:p>
    <w:p>
      <w:pPr>
        <w:adjustRightInd w:val="0"/>
        <w:snapToGrid w:val="0"/>
        <w:spacing w:line="360" w:lineRule="auto"/>
        <w:ind w:right="24"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bCs/>
          <w:color w:val="auto"/>
          <w:szCs w:val="21"/>
          <w:highlight w:val="none"/>
        </w:rPr>
        <w:t>附件2</w:t>
      </w:r>
      <w:r>
        <w:rPr>
          <w:rFonts w:hint="eastAsia" w:ascii="仿宋_GB2312" w:hAnsi="仿宋_GB2312" w:eastAsia="仿宋_GB2312" w:cs="仿宋_GB2312"/>
          <w:color w:val="auto"/>
          <w:szCs w:val="21"/>
          <w:highlight w:val="none"/>
        </w:rPr>
        <w:t>：法定代表人授权书</w:t>
      </w:r>
    </w:p>
    <w:p>
      <w:pPr>
        <w:pStyle w:val="9"/>
        <w:adjustRightInd w:val="0"/>
        <w:snapToGrid w:val="0"/>
        <w:spacing w:line="360" w:lineRule="auto"/>
        <w:rPr>
          <w:rFonts w:hint="eastAsia" w:ascii="仿宋_GB2312" w:hAnsi="仿宋_GB2312" w:eastAsia="仿宋_GB2312" w:cs="仿宋_GB2312"/>
          <w:color w:val="auto"/>
          <w:highlight w:val="none"/>
        </w:rPr>
      </w:pPr>
    </w:p>
    <w:p>
      <w:pPr>
        <w:pStyle w:val="9"/>
        <w:adjustRightInd w:val="0"/>
        <w:snapToGrid w:val="0"/>
        <w:spacing w:line="360" w:lineRule="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供应商名称(盖单位章)：</w:t>
      </w:r>
    </w:p>
    <w:p>
      <w:pPr>
        <w:adjustRightInd w:val="0"/>
        <w:snapToGrid w:val="0"/>
        <w:spacing w:line="360" w:lineRule="auto"/>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法定代表人或其委托代理人 (签字)：</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ab/>
      </w:r>
    </w:p>
    <w:p>
      <w:pPr>
        <w:adjustRightInd w:val="0"/>
        <w:snapToGrid w:val="0"/>
        <w:spacing w:line="360" w:lineRule="auto"/>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日     期：</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年</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月</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日</w:t>
      </w:r>
    </w:p>
    <w:p>
      <w:pPr>
        <w:adjustRightInd w:val="0"/>
        <w:snapToGrid w:val="0"/>
        <w:spacing w:line="360" w:lineRule="auto"/>
        <w:ind w:right="24"/>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附件1</w:t>
      </w:r>
    </w:p>
    <w:p>
      <w:pPr>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法定代表人身份证明</w:t>
      </w:r>
    </w:p>
    <w:p>
      <w:pPr>
        <w:snapToGrid w:val="0"/>
        <w:spacing w:line="480" w:lineRule="auto"/>
        <w:rPr>
          <w:rFonts w:hint="eastAsia" w:ascii="仿宋_GB2312" w:hAnsi="仿宋_GB2312" w:eastAsia="仿宋_GB2312" w:cs="仿宋_GB2312"/>
          <w:color w:val="auto"/>
          <w:szCs w:val="21"/>
          <w:highlight w:val="none"/>
        </w:rPr>
      </w:pP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供应商</w:t>
      </w:r>
      <w:r>
        <w:rPr>
          <w:rFonts w:hint="eastAsia" w:ascii="仿宋_GB2312" w:hAnsi="仿宋_GB2312" w:eastAsia="仿宋_GB2312" w:cs="仿宋_GB2312"/>
          <w:color w:val="auto"/>
          <w:kern w:val="0"/>
          <w:szCs w:val="21"/>
          <w:highlight w:val="none"/>
        </w:rPr>
        <w:t>名称：</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注册号：</w:t>
      </w:r>
      <w:r>
        <w:rPr>
          <w:rFonts w:hint="eastAsia" w:ascii="仿宋_GB2312" w:hAnsi="仿宋_GB2312" w:eastAsia="仿宋_GB2312" w:cs="仿宋_GB2312"/>
          <w:color w:val="auto"/>
          <w:kern w:val="0"/>
          <w:szCs w:val="21"/>
          <w:highlight w:val="none"/>
          <w:u w:val="single"/>
        </w:rPr>
        <w:t xml:space="preserve">                  </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注册地址：</w:t>
      </w:r>
      <w:r>
        <w:rPr>
          <w:rFonts w:hint="eastAsia" w:ascii="仿宋_GB2312" w:hAnsi="仿宋_GB2312" w:eastAsia="仿宋_GB2312" w:cs="仿宋_GB2312"/>
          <w:color w:val="auto"/>
          <w:kern w:val="0"/>
          <w:szCs w:val="21"/>
          <w:highlight w:val="none"/>
          <w:u w:val="single"/>
        </w:rPr>
        <w:t xml:space="preserve">                                    </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xml:space="preserve">成立时间： </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年 </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月</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日</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u w:val="single"/>
        </w:rPr>
      </w:pPr>
      <w:r>
        <w:rPr>
          <w:rFonts w:hint="eastAsia" w:ascii="仿宋_GB2312" w:hAnsi="仿宋_GB2312" w:eastAsia="仿宋_GB2312" w:cs="仿宋_GB2312"/>
          <w:color w:val="auto"/>
          <w:kern w:val="0"/>
          <w:szCs w:val="21"/>
          <w:highlight w:val="none"/>
        </w:rPr>
        <w:t>经营期限：</w:t>
      </w:r>
      <w:r>
        <w:rPr>
          <w:rFonts w:hint="eastAsia" w:ascii="仿宋_GB2312" w:hAnsi="仿宋_GB2312" w:eastAsia="仿宋_GB2312" w:cs="仿宋_GB2312"/>
          <w:color w:val="auto"/>
          <w:kern w:val="0"/>
          <w:szCs w:val="21"/>
          <w:highlight w:val="none"/>
          <w:u w:val="single"/>
        </w:rPr>
        <w:t xml:space="preserve">                  </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u w:val="single"/>
        </w:rPr>
      </w:pPr>
      <w:r>
        <w:rPr>
          <w:rFonts w:hint="eastAsia" w:ascii="仿宋_GB2312" w:hAnsi="仿宋_GB2312" w:eastAsia="仿宋_GB2312" w:cs="仿宋_GB2312"/>
          <w:color w:val="auto"/>
          <w:kern w:val="0"/>
          <w:szCs w:val="21"/>
          <w:highlight w:val="none"/>
        </w:rPr>
        <w:t>经营范围：主营：</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；兼营：</w:t>
      </w:r>
      <w:r>
        <w:rPr>
          <w:rFonts w:hint="eastAsia" w:ascii="仿宋_GB2312" w:hAnsi="仿宋_GB2312" w:eastAsia="仿宋_GB2312" w:cs="仿宋_GB2312"/>
          <w:color w:val="auto"/>
          <w:kern w:val="0"/>
          <w:szCs w:val="21"/>
          <w:highlight w:val="none"/>
          <w:u w:val="single"/>
        </w:rPr>
        <w:t xml:space="preserve">              </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姓名：</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性别：</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年龄：</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系</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w:t>
      </w:r>
      <w:r>
        <w:rPr>
          <w:rFonts w:hint="eastAsia" w:ascii="仿宋_GB2312" w:hAnsi="仿宋_GB2312" w:eastAsia="仿宋_GB2312" w:cs="仿宋_GB2312"/>
          <w:color w:val="auto"/>
          <w:szCs w:val="21"/>
          <w:highlight w:val="none"/>
        </w:rPr>
        <w:t>供应商</w:t>
      </w:r>
      <w:r>
        <w:rPr>
          <w:rFonts w:hint="eastAsia" w:ascii="仿宋_GB2312" w:hAnsi="仿宋_GB2312" w:eastAsia="仿宋_GB2312" w:cs="仿宋_GB2312"/>
          <w:color w:val="auto"/>
          <w:kern w:val="0"/>
          <w:szCs w:val="21"/>
          <w:highlight w:val="none"/>
        </w:rPr>
        <w:t>名称）的法定代表人。</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特此证明。</w:t>
      </w:r>
    </w:p>
    <w:p>
      <w:pPr>
        <w:autoSpaceDE w:val="0"/>
        <w:autoSpaceDN w:val="0"/>
        <w:adjustRightInd w:val="0"/>
        <w:snapToGrid w:val="0"/>
        <w:spacing w:line="360" w:lineRule="auto"/>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zCs w:val="21"/>
          <w:highlight w:val="none"/>
        </w:rPr>
        <w:t>附：法定代表人身份证复印件</w:t>
      </w:r>
    </w:p>
    <w:p>
      <w:pPr>
        <w:snapToGrid w:val="0"/>
        <w:rPr>
          <w:rFonts w:hint="eastAsia" w:ascii="仿宋_GB2312" w:hAnsi="仿宋_GB2312" w:eastAsia="仿宋_GB2312" w:cs="仿宋_GB2312"/>
          <w:color w:val="auto"/>
          <w:szCs w:val="21"/>
          <w:highlight w:val="none"/>
        </w:rPr>
      </w:pPr>
    </w:p>
    <w:p>
      <w:pPr>
        <w:snapToGrid w:val="0"/>
        <w:rPr>
          <w:rFonts w:hint="eastAsia" w:ascii="仿宋_GB2312" w:hAnsi="仿宋_GB2312" w:eastAsia="仿宋_GB2312" w:cs="仿宋_GB2312"/>
          <w:color w:val="auto"/>
          <w:szCs w:val="21"/>
          <w:highlight w:val="none"/>
        </w:rPr>
      </w:pPr>
    </w:p>
    <w:p>
      <w:pPr>
        <w:snapToGrid w:val="0"/>
        <w:rPr>
          <w:rFonts w:hint="eastAsia" w:ascii="仿宋_GB2312" w:hAnsi="仿宋_GB2312" w:eastAsia="仿宋_GB2312" w:cs="仿宋_GB2312"/>
          <w:color w:val="auto"/>
          <w:szCs w:val="21"/>
          <w:highlight w:val="none"/>
        </w:rPr>
      </w:pPr>
    </w:p>
    <w:p>
      <w:pPr>
        <w:snapToGrid w:val="0"/>
        <w:rPr>
          <w:rFonts w:hint="eastAsia" w:ascii="仿宋_GB2312" w:hAnsi="仿宋_GB2312" w:eastAsia="仿宋_GB2312" w:cs="仿宋_GB2312"/>
          <w:color w:val="auto"/>
          <w:szCs w:val="21"/>
          <w:highlight w:val="none"/>
        </w:rPr>
      </w:pPr>
    </w:p>
    <w:p>
      <w:pPr>
        <w:adjustRightInd w:val="0"/>
        <w:snapToGrid w:val="0"/>
        <w:spacing w:line="360" w:lineRule="auto"/>
        <w:rPr>
          <w:rFonts w:hint="eastAsia" w:ascii="仿宋_GB2312" w:hAnsi="仿宋_GB2312" w:eastAsia="仿宋_GB2312" w:cs="仿宋_GB2312"/>
          <w:color w:val="auto"/>
          <w:szCs w:val="21"/>
          <w:highlight w:val="none"/>
        </w:rPr>
      </w:pPr>
    </w:p>
    <w:p>
      <w:pPr>
        <w:adjustRightInd w:val="0"/>
        <w:snapToGrid w:val="0"/>
        <w:spacing w:line="360" w:lineRule="auto"/>
        <w:ind w:right="42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供应商名称（盖单位章）：</w:t>
      </w:r>
    </w:p>
    <w:p>
      <w:pPr>
        <w:adjustRightInd w:val="0"/>
        <w:snapToGrid w:val="0"/>
        <w:spacing w:line="360" w:lineRule="auto"/>
        <w:ind w:right="42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日期：</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年</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月</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日</w:t>
      </w:r>
    </w:p>
    <w:p>
      <w:pPr>
        <w:widowControl/>
        <w:adjustRightInd w:val="0"/>
        <w:snapToGrid w:val="0"/>
        <w:jc w:val="lef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bCs/>
          <w:color w:val="auto"/>
          <w:sz w:val="30"/>
          <w:szCs w:val="30"/>
          <w:highlight w:val="none"/>
        </w:rPr>
        <w:br w:type="page"/>
      </w:r>
      <w:r>
        <w:rPr>
          <w:rFonts w:hint="eastAsia" w:ascii="仿宋_GB2312" w:hAnsi="仿宋_GB2312" w:eastAsia="仿宋_GB2312" w:cs="仿宋_GB2312"/>
          <w:bCs/>
          <w:color w:val="auto"/>
          <w:sz w:val="30"/>
          <w:szCs w:val="30"/>
          <w:highlight w:val="none"/>
        </w:rPr>
        <w:t>附件2</w:t>
      </w:r>
    </w:p>
    <w:p>
      <w:pPr>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法定代表人授权委托书</w:t>
      </w:r>
    </w:p>
    <w:p>
      <w:pPr>
        <w:adjustRightInd w:val="0"/>
        <w:snapToGrid w:val="0"/>
        <w:spacing w:line="360" w:lineRule="auto"/>
        <w:jc w:val="center"/>
        <w:rPr>
          <w:rFonts w:hint="eastAsia" w:ascii="仿宋_GB2312" w:hAnsi="仿宋_GB2312" w:eastAsia="仿宋_GB2312" w:cs="仿宋_GB2312"/>
          <w:b/>
          <w:color w:val="auto"/>
          <w:sz w:val="28"/>
          <w:szCs w:val="28"/>
          <w:highlight w:val="none"/>
        </w:rPr>
      </w:pPr>
    </w:p>
    <w:p>
      <w:pPr>
        <w:autoSpaceDE w:val="0"/>
        <w:autoSpaceDN w:val="0"/>
        <w:adjustRightInd w:val="0"/>
        <w:snapToGrid w:val="0"/>
        <w:spacing w:beforeLines="50"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本人</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（姓名、职务）系</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w:t>
      </w:r>
      <w:r>
        <w:rPr>
          <w:rFonts w:hint="eastAsia" w:ascii="仿宋_GB2312" w:hAnsi="仿宋_GB2312" w:eastAsia="仿宋_GB2312" w:cs="仿宋_GB2312"/>
          <w:color w:val="auto"/>
          <w:szCs w:val="21"/>
          <w:highlight w:val="none"/>
        </w:rPr>
        <w:t>供应商</w:t>
      </w:r>
      <w:r>
        <w:rPr>
          <w:rFonts w:hint="eastAsia" w:ascii="仿宋_GB2312" w:hAnsi="仿宋_GB2312" w:eastAsia="仿宋_GB2312" w:cs="仿宋_GB2312"/>
          <w:color w:val="auto"/>
          <w:kern w:val="0"/>
          <w:szCs w:val="21"/>
          <w:highlight w:val="none"/>
        </w:rPr>
        <w:t>名称）的法定代表人，现授权</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（姓名、职务）为我方代理人。代理人根据授权，以我方名义：(1)签署、澄清、补正、修改、撤回、提交</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（项目名称、</w:t>
      </w:r>
      <w:r>
        <w:rPr>
          <w:rFonts w:hint="eastAsia" w:ascii="仿宋_GB2312" w:hAnsi="仿宋_GB2312" w:eastAsia="仿宋_GB2312" w:cs="仿宋_GB2312"/>
          <w:color w:val="auto"/>
          <w:szCs w:val="21"/>
          <w:highlight w:val="none"/>
        </w:rPr>
        <w:t>政府</w:t>
      </w:r>
      <w:r>
        <w:rPr>
          <w:rFonts w:hint="eastAsia" w:ascii="仿宋_GB2312" w:hAnsi="仿宋_GB2312" w:eastAsia="仿宋_GB2312" w:cs="仿宋_GB2312"/>
          <w:color w:val="auto"/>
          <w:kern w:val="0"/>
          <w:szCs w:val="21"/>
          <w:highlight w:val="none"/>
        </w:rPr>
        <w:t>采购编号、采购代理机构编号）响应文件；(2)签署并重新提交响应文件及最后报价；(3)签订合同和处理有关事宜，其法律后果由我方承担；（4）询问、质疑、投诉等相关事项，其法律后果由我方承担。</w:t>
      </w:r>
    </w:p>
    <w:p>
      <w:pPr>
        <w:autoSpaceDE w:val="0"/>
        <w:autoSpaceDN w:val="0"/>
        <w:adjustRightInd w:val="0"/>
        <w:snapToGrid w:val="0"/>
        <w:spacing w:beforeLines="50" w:line="360" w:lineRule="auto"/>
        <w:ind w:firstLine="420" w:firstLineChars="200"/>
        <w:jc w:val="left"/>
        <w:rPr>
          <w:rFonts w:hint="eastAsia" w:ascii="仿宋_GB2312" w:hAnsi="仿宋_GB2312" w:eastAsia="仿宋_GB2312" w:cs="仿宋_GB2312"/>
          <w:color w:val="auto"/>
          <w:kern w:val="0"/>
          <w:szCs w:val="21"/>
          <w:highlight w:val="none"/>
        </w:rPr>
      </w:pPr>
    </w:p>
    <w:p>
      <w:pPr>
        <w:autoSpaceDE w:val="0"/>
        <w:autoSpaceDN w:val="0"/>
        <w:adjustRightInd w:val="0"/>
        <w:snapToGrid w:val="0"/>
        <w:spacing w:beforeLines="50" w:line="360" w:lineRule="auto"/>
        <w:ind w:firstLine="420"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委托期限：</w:t>
      </w:r>
      <w:r>
        <w:rPr>
          <w:rFonts w:hint="eastAsia" w:ascii="仿宋_GB2312" w:hAnsi="仿宋_GB2312" w:eastAsia="仿宋_GB2312" w:cs="仿宋_GB2312"/>
          <w:color w:val="auto"/>
          <w:kern w:val="0"/>
          <w:szCs w:val="21"/>
          <w:highlight w:val="none"/>
          <w:u w:val="single"/>
        </w:rPr>
        <w:t xml:space="preserve">                                     </w:t>
      </w:r>
      <w:r>
        <w:rPr>
          <w:rFonts w:hint="eastAsia" w:ascii="仿宋_GB2312" w:hAnsi="仿宋_GB2312" w:eastAsia="仿宋_GB2312" w:cs="仿宋_GB2312"/>
          <w:color w:val="auto"/>
          <w:kern w:val="0"/>
          <w:szCs w:val="21"/>
          <w:highlight w:val="none"/>
        </w:rPr>
        <w:t xml:space="preserve"> 。</w:t>
      </w:r>
    </w:p>
    <w:p>
      <w:pPr>
        <w:spacing w:line="360" w:lineRule="auto"/>
        <w:ind w:firstLine="435"/>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代理人无转委托权。</w:t>
      </w:r>
    </w:p>
    <w:p>
      <w:pPr>
        <w:spacing w:line="360" w:lineRule="auto"/>
        <w:ind w:firstLine="435"/>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本授权书于</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年</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月</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日签字生效，特此声明。</w:t>
      </w:r>
    </w:p>
    <w:p>
      <w:pPr>
        <w:adjustRightInd w:val="0"/>
        <w:snapToGrid w:val="0"/>
        <w:spacing w:beforeLines="50"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附：委托代理人身份证复印件及法定代表人身份证明(附件1，原件)</w:t>
      </w:r>
    </w:p>
    <w:p>
      <w:pPr>
        <w:adjustRightInd w:val="0"/>
        <w:snapToGrid w:val="0"/>
        <w:spacing w:beforeLines="50" w:line="360" w:lineRule="auto"/>
        <w:jc w:val="center"/>
        <w:rPr>
          <w:rFonts w:hint="eastAsia" w:ascii="仿宋_GB2312" w:hAnsi="仿宋_GB2312" w:eastAsia="仿宋_GB2312" w:cs="仿宋_GB2312"/>
          <w:b/>
          <w:bCs/>
          <w:color w:val="auto"/>
          <w:szCs w:val="21"/>
          <w:highlight w:val="none"/>
        </w:rPr>
      </w:pPr>
    </w:p>
    <w:p>
      <w:pPr>
        <w:adjustRightInd w:val="0"/>
        <w:snapToGrid w:val="0"/>
        <w:spacing w:beforeLines="50" w:line="360" w:lineRule="auto"/>
        <w:ind w:firstLine="420" w:firstLineChars="200"/>
        <w:rPr>
          <w:rFonts w:hint="eastAsia" w:ascii="仿宋_GB2312" w:hAnsi="仿宋_GB2312" w:eastAsia="仿宋_GB2312" w:cs="仿宋_GB2312"/>
          <w:bCs/>
          <w:color w:val="auto"/>
          <w:szCs w:val="21"/>
          <w:highlight w:val="none"/>
          <w:lang w:eastAsia="zh-CN"/>
        </w:rPr>
      </w:pPr>
      <w:r>
        <w:rPr>
          <w:rFonts w:hint="eastAsia" w:ascii="仿宋_GB2312" w:hAnsi="仿宋_GB2312" w:eastAsia="仿宋_GB2312" w:cs="仿宋_GB2312"/>
          <w:bCs/>
          <w:color w:val="auto"/>
          <w:szCs w:val="21"/>
          <w:highlight w:val="none"/>
        </w:rPr>
        <w:t>注：若授权代表人参与投标则须提供在投标单位近三个月的社保证明</w:t>
      </w:r>
      <w:r>
        <w:rPr>
          <w:rFonts w:hint="eastAsia" w:ascii="仿宋_GB2312" w:hAnsi="仿宋_GB2312" w:eastAsia="仿宋_GB2312" w:cs="仿宋_GB2312"/>
          <w:bCs/>
          <w:color w:val="auto"/>
          <w:szCs w:val="21"/>
          <w:highlight w:val="none"/>
          <w:lang w:eastAsia="zh-CN"/>
        </w:rPr>
        <w:t>。</w:t>
      </w:r>
    </w:p>
    <w:p>
      <w:pPr>
        <w:adjustRightInd w:val="0"/>
        <w:snapToGrid w:val="0"/>
        <w:spacing w:line="360" w:lineRule="auto"/>
        <w:ind w:right="420"/>
        <w:jc w:val="center"/>
        <w:rPr>
          <w:rFonts w:hint="eastAsia" w:ascii="仿宋_GB2312" w:hAnsi="仿宋_GB2312" w:eastAsia="仿宋_GB2312" w:cs="仿宋_GB2312"/>
          <w:color w:val="auto"/>
          <w:szCs w:val="21"/>
          <w:highlight w:val="none"/>
        </w:rPr>
      </w:pPr>
    </w:p>
    <w:p>
      <w:pPr>
        <w:adjustRightInd w:val="0"/>
        <w:snapToGrid w:val="0"/>
        <w:spacing w:line="360" w:lineRule="auto"/>
        <w:ind w:right="420"/>
        <w:jc w:val="center"/>
        <w:rPr>
          <w:rFonts w:hint="eastAsia" w:ascii="仿宋_GB2312" w:hAnsi="仿宋_GB2312" w:eastAsia="仿宋_GB2312" w:cs="仿宋_GB2312"/>
          <w:color w:val="auto"/>
          <w:szCs w:val="21"/>
          <w:highlight w:val="none"/>
        </w:rPr>
      </w:pPr>
    </w:p>
    <w:p>
      <w:pPr>
        <w:adjustRightInd w:val="0"/>
        <w:snapToGrid w:val="0"/>
        <w:spacing w:line="360" w:lineRule="auto"/>
        <w:ind w:right="420"/>
        <w:jc w:val="center"/>
        <w:rPr>
          <w:rFonts w:hint="eastAsia" w:ascii="仿宋_GB2312" w:hAnsi="仿宋_GB2312" w:eastAsia="仿宋_GB2312" w:cs="仿宋_GB2312"/>
          <w:color w:val="auto"/>
          <w:szCs w:val="21"/>
          <w:highlight w:val="none"/>
        </w:rPr>
      </w:pPr>
    </w:p>
    <w:p>
      <w:pPr>
        <w:adjustRightInd w:val="0"/>
        <w:snapToGrid w:val="0"/>
        <w:spacing w:line="360" w:lineRule="auto"/>
        <w:ind w:right="42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法定代表人（签字）：</w:t>
      </w:r>
      <w:r>
        <w:rPr>
          <w:rFonts w:hint="eastAsia" w:ascii="仿宋_GB2312" w:hAnsi="仿宋_GB2312" w:eastAsia="仿宋_GB2312" w:cs="仿宋_GB2312"/>
          <w:color w:val="auto"/>
          <w:szCs w:val="21"/>
          <w:highlight w:val="none"/>
          <w:u w:val="single"/>
        </w:rPr>
        <w:t xml:space="preserve">           </w:t>
      </w:r>
    </w:p>
    <w:p>
      <w:pPr>
        <w:adjustRightInd w:val="0"/>
        <w:snapToGrid w:val="0"/>
        <w:spacing w:line="360" w:lineRule="auto"/>
        <w:ind w:right="42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委托代理人（签字）：</w:t>
      </w:r>
      <w:r>
        <w:rPr>
          <w:rFonts w:hint="eastAsia" w:ascii="仿宋_GB2312" w:hAnsi="仿宋_GB2312" w:eastAsia="仿宋_GB2312" w:cs="仿宋_GB2312"/>
          <w:color w:val="auto"/>
          <w:szCs w:val="21"/>
          <w:highlight w:val="none"/>
          <w:u w:val="single"/>
        </w:rPr>
        <w:t xml:space="preserve">           </w:t>
      </w:r>
    </w:p>
    <w:p>
      <w:pPr>
        <w:adjustRightInd w:val="0"/>
        <w:snapToGrid w:val="0"/>
        <w:spacing w:line="360" w:lineRule="auto"/>
        <w:ind w:right="24"/>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日期：</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年</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月</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日</w:t>
      </w:r>
    </w:p>
    <w:p>
      <w:pPr>
        <w:widowControl/>
        <w:numPr>
          <w:ilvl w:val="0"/>
          <w:numId w:val="9"/>
        </w:numPr>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br w:type="page"/>
      </w:r>
      <w:r>
        <w:rPr>
          <w:rFonts w:hint="eastAsia" w:ascii="仿宋_GB2312" w:hAnsi="仿宋_GB2312" w:eastAsia="仿宋_GB2312" w:cs="仿宋_GB2312"/>
          <w:b/>
          <w:color w:val="auto"/>
          <w:sz w:val="32"/>
          <w:szCs w:val="32"/>
          <w:highlight w:val="none"/>
        </w:rPr>
        <w:t>磋商保证金缴纳证明材料</w:t>
      </w:r>
    </w:p>
    <w:p>
      <w:pPr>
        <w:adjustRightInd w:val="0"/>
        <w:snapToGrid w:val="0"/>
        <w:spacing w:line="360" w:lineRule="auto"/>
        <w:jc w:val="center"/>
        <w:outlineLvl w:val="0"/>
        <w:rPr>
          <w:rFonts w:hint="eastAsia" w:ascii="仿宋_GB2312" w:hAnsi="仿宋_GB2312" w:eastAsia="仿宋_GB2312" w:cs="仿宋_GB2312"/>
          <w:color w:val="auto"/>
          <w:highlight w:val="none"/>
        </w:rPr>
      </w:pPr>
    </w:p>
    <w:p>
      <w:pPr>
        <w:adjustRightInd w:val="0"/>
        <w:snapToGrid w:val="0"/>
        <w:ind w:left="42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color w:val="auto"/>
          <w:highlight w:val="none"/>
        </w:rPr>
        <w:t>提供付款凭证复印件。</w:t>
      </w:r>
      <w:r>
        <w:rPr>
          <w:rFonts w:hint="eastAsia" w:ascii="仿宋_GB2312" w:hAnsi="仿宋_GB2312" w:eastAsia="仿宋_GB2312" w:cs="仿宋_GB2312"/>
          <w:b/>
          <w:color w:val="auto"/>
          <w:sz w:val="32"/>
          <w:szCs w:val="32"/>
          <w:highlight w:val="none"/>
        </w:rPr>
        <w:br w:type="page"/>
      </w:r>
    </w:p>
    <w:p>
      <w:pPr>
        <w:adjustRightInd w:val="0"/>
        <w:snapToGrid w:val="0"/>
        <w:spacing w:line="360" w:lineRule="auto"/>
        <w:ind w:left="420"/>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eastAsia="zh-CN"/>
        </w:rPr>
        <w:t>三</w:t>
      </w:r>
      <w:r>
        <w:rPr>
          <w:rFonts w:hint="eastAsia" w:ascii="仿宋_GB2312" w:hAnsi="仿宋_GB2312" w:eastAsia="仿宋_GB2312" w:cs="仿宋_GB2312"/>
          <w:b/>
          <w:color w:val="auto"/>
          <w:sz w:val="32"/>
          <w:szCs w:val="32"/>
          <w:highlight w:val="none"/>
        </w:rPr>
        <w:t>、供应商</w:t>
      </w:r>
      <w:r>
        <w:rPr>
          <w:rFonts w:hint="eastAsia" w:ascii="仿宋_GB2312" w:hAnsi="仿宋_GB2312" w:eastAsia="仿宋_GB2312" w:cs="仿宋_GB2312"/>
          <w:b/>
          <w:bCs/>
          <w:color w:val="auto"/>
          <w:sz w:val="32"/>
          <w:szCs w:val="32"/>
          <w:highlight w:val="none"/>
        </w:rPr>
        <w:t>的资格证明资料</w:t>
      </w:r>
    </w:p>
    <w:p>
      <w:pPr>
        <w:spacing w:line="48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附件3                   供应商基本情况表</w:t>
      </w:r>
    </w:p>
    <w:tbl>
      <w:tblPr>
        <w:tblStyle w:val="29"/>
        <w:tblW w:w="882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9"/>
        <w:gridCol w:w="539"/>
        <w:gridCol w:w="362"/>
        <w:gridCol w:w="1143"/>
        <w:gridCol w:w="850"/>
        <w:gridCol w:w="590"/>
        <w:gridCol w:w="294"/>
        <w:gridCol w:w="1083"/>
        <w:gridCol w:w="1329"/>
        <w:gridCol w:w="191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6" w:hRule="atLeast"/>
        </w:trPr>
        <w:tc>
          <w:tcPr>
            <w:tcW w:w="1620" w:type="dxa"/>
            <w:gridSpan w:val="3"/>
            <w:tcBorders>
              <w:top w:val="double" w:color="auto" w:sz="4"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供应商名称</w:t>
            </w:r>
          </w:p>
        </w:tc>
        <w:tc>
          <w:tcPr>
            <w:tcW w:w="3960" w:type="dxa"/>
            <w:gridSpan w:val="5"/>
            <w:tcBorders>
              <w:top w:val="double" w:color="auto" w:sz="4" w:space="0"/>
              <w:left w:val="single" w:color="auto" w:sz="6" w:space="0"/>
              <w:bottom w:val="single" w:color="auto" w:sz="6" w:space="0"/>
              <w:right w:val="single" w:color="auto" w:sz="6" w:space="0"/>
            </w:tcBorders>
            <w:vAlign w:val="center"/>
          </w:tcPr>
          <w:p>
            <w:pPr>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盖供应商单位公章</w:t>
            </w:r>
          </w:p>
        </w:tc>
        <w:tc>
          <w:tcPr>
            <w:tcW w:w="1329" w:type="dxa"/>
            <w:tcBorders>
              <w:top w:val="double" w:color="auto" w:sz="4"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法定代表人</w:t>
            </w:r>
          </w:p>
        </w:tc>
        <w:tc>
          <w:tcPr>
            <w:tcW w:w="1911" w:type="dxa"/>
            <w:tcBorders>
              <w:top w:val="double" w:color="auto" w:sz="4"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6" w:hRule="atLeast"/>
        </w:trPr>
        <w:tc>
          <w:tcPr>
            <w:tcW w:w="1620" w:type="dxa"/>
            <w:gridSpan w:val="3"/>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委托代理人</w:t>
            </w:r>
          </w:p>
        </w:tc>
        <w:tc>
          <w:tcPr>
            <w:tcW w:w="3960" w:type="dxa"/>
            <w:gridSpan w:val="5"/>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329"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邮政编码</w:t>
            </w:r>
          </w:p>
        </w:tc>
        <w:tc>
          <w:tcPr>
            <w:tcW w:w="1911" w:type="dxa"/>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3" w:hRule="atLeast"/>
        </w:trPr>
        <w:tc>
          <w:tcPr>
            <w:tcW w:w="1620" w:type="dxa"/>
            <w:gridSpan w:val="3"/>
            <w:vMerge w:val="restart"/>
            <w:tcBorders>
              <w:top w:val="single" w:color="auto" w:sz="6" w:space="0"/>
              <w:left w:val="double" w:color="auto" w:sz="4"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上年营业收入</w:t>
            </w:r>
          </w:p>
        </w:tc>
        <w:tc>
          <w:tcPr>
            <w:tcW w:w="3960" w:type="dxa"/>
            <w:gridSpan w:val="5"/>
            <w:vMerge w:val="restart"/>
            <w:tcBorders>
              <w:top w:val="single" w:color="auto" w:sz="6" w:space="0"/>
              <w:left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329"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电子邮箱</w:t>
            </w:r>
          </w:p>
        </w:tc>
        <w:tc>
          <w:tcPr>
            <w:tcW w:w="1911" w:type="dxa"/>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8" w:hRule="atLeast"/>
        </w:trPr>
        <w:tc>
          <w:tcPr>
            <w:tcW w:w="1620" w:type="dxa"/>
            <w:gridSpan w:val="3"/>
            <w:vMerge w:val="continue"/>
            <w:tcBorders>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3960" w:type="dxa"/>
            <w:gridSpan w:val="5"/>
            <w:vMerge w:val="continue"/>
            <w:tcBorders>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329"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员工总人数</w:t>
            </w:r>
          </w:p>
        </w:tc>
        <w:tc>
          <w:tcPr>
            <w:tcW w:w="1911" w:type="dxa"/>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14" w:hRule="atLeast"/>
        </w:trPr>
        <w:tc>
          <w:tcPr>
            <w:tcW w:w="719" w:type="dxa"/>
            <w:vMerge w:val="restart"/>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营业执照</w:t>
            </w:r>
          </w:p>
        </w:tc>
        <w:tc>
          <w:tcPr>
            <w:tcW w:w="2044" w:type="dxa"/>
            <w:gridSpan w:val="3"/>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注册号码</w:t>
            </w:r>
          </w:p>
        </w:tc>
        <w:tc>
          <w:tcPr>
            <w:tcW w:w="1440"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377"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ind w:firstLine="105" w:firstLineChars="5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注册地址</w:t>
            </w: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ind w:firstLine="105" w:firstLineChars="5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4" w:hRule="atLeast"/>
        </w:trPr>
        <w:tc>
          <w:tcPr>
            <w:tcW w:w="719" w:type="dxa"/>
            <w:vMerge w:val="continue"/>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2044" w:type="dxa"/>
            <w:gridSpan w:val="3"/>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发证机关</w:t>
            </w:r>
          </w:p>
        </w:tc>
        <w:tc>
          <w:tcPr>
            <w:tcW w:w="1440"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377"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ind w:firstLine="105" w:firstLineChars="5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发证日期</w:t>
            </w: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ind w:firstLine="105" w:firstLineChars="5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14" w:hRule="atLeast"/>
        </w:trPr>
        <w:tc>
          <w:tcPr>
            <w:tcW w:w="719" w:type="dxa"/>
            <w:vMerge w:val="continue"/>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2044" w:type="dxa"/>
            <w:gridSpan w:val="3"/>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营业范围</w:t>
            </w:r>
          </w:p>
        </w:tc>
        <w:tc>
          <w:tcPr>
            <w:tcW w:w="6057" w:type="dxa"/>
            <w:gridSpan w:val="6"/>
            <w:tcBorders>
              <w:top w:val="single" w:color="auto" w:sz="6" w:space="0"/>
              <w:left w:val="single" w:color="auto" w:sz="6" w:space="0"/>
              <w:bottom w:val="single" w:color="auto" w:sz="6" w:space="0"/>
              <w:right w:val="double" w:color="auto" w:sz="4" w:space="0"/>
            </w:tcBorders>
            <w:vAlign w:val="center"/>
          </w:tcPr>
          <w:p>
            <w:pPr>
              <w:topLinePunct/>
              <w:adjustRightInd w:val="0"/>
              <w:snapToGrid w:val="0"/>
              <w:ind w:firstLine="105" w:firstLineChars="5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63" w:hRule="atLeast"/>
        </w:trPr>
        <w:tc>
          <w:tcPr>
            <w:tcW w:w="2763" w:type="dxa"/>
            <w:gridSpan w:val="4"/>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基本账户开户行及账号</w:t>
            </w:r>
          </w:p>
        </w:tc>
        <w:tc>
          <w:tcPr>
            <w:tcW w:w="6057" w:type="dxa"/>
            <w:gridSpan w:val="6"/>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08" w:hRule="atLeast"/>
        </w:trPr>
        <w:tc>
          <w:tcPr>
            <w:tcW w:w="2763" w:type="dxa"/>
            <w:gridSpan w:val="4"/>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税务登记机关</w:t>
            </w:r>
          </w:p>
        </w:tc>
        <w:tc>
          <w:tcPr>
            <w:tcW w:w="6057" w:type="dxa"/>
            <w:gridSpan w:val="6"/>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04" w:hRule="atLeast"/>
        </w:trPr>
        <w:tc>
          <w:tcPr>
            <w:tcW w:w="3613" w:type="dxa"/>
            <w:gridSpan w:val="5"/>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资质名称</w:t>
            </w:r>
          </w:p>
        </w:tc>
        <w:tc>
          <w:tcPr>
            <w:tcW w:w="884"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等级</w:t>
            </w:r>
          </w:p>
        </w:tc>
        <w:tc>
          <w:tcPr>
            <w:tcW w:w="1083"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发证机关</w:t>
            </w: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有效期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26" w:hRule="atLeast"/>
        </w:trPr>
        <w:tc>
          <w:tcPr>
            <w:tcW w:w="3613" w:type="dxa"/>
            <w:gridSpan w:val="5"/>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884"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083"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26" w:hRule="atLeast"/>
        </w:trPr>
        <w:tc>
          <w:tcPr>
            <w:tcW w:w="3613" w:type="dxa"/>
            <w:gridSpan w:val="5"/>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884"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083"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26" w:hRule="atLeast"/>
        </w:trPr>
        <w:tc>
          <w:tcPr>
            <w:tcW w:w="3613" w:type="dxa"/>
            <w:gridSpan w:val="5"/>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884"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083"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26" w:hRule="atLeast"/>
        </w:trPr>
        <w:tc>
          <w:tcPr>
            <w:tcW w:w="3613" w:type="dxa"/>
            <w:gridSpan w:val="5"/>
            <w:tcBorders>
              <w:top w:val="single" w:color="auto" w:sz="6" w:space="0"/>
              <w:left w:val="double" w:color="auto" w:sz="4"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884" w:type="dxa"/>
            <w:gridSpan w:val="2"/>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1083" w:type="dxa"/>
            <w:tcBorders>
              <w:top w:val="single" w:color="auto" w:sz="6" w:space="0"/>
              <w:left w:val="single" w:color="auto" w:sz="6" w:space="0"/>
              <w:bottom w:val="single" w:color="auto" w:sz="6"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c>
          <w:tcPr>
            <w:tcW w:w="3240" w:type="dxa"/>
            <w:gridSpan w:val="2"/>
            <w:tcBorders>
              <w:top w:val="single" w:color="auto" w:sz="6" w:space="0"/>
              <w:left w:val="single" w:color="auto" w:sz="6" w:space="0"/>
              <w:bottom w:val="single" w:color="auto" w:sz="6" w:space="0"/>
              <w:right w:val="double" w:color="auto" w:sz="4"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32" w:hRule="atLeast"/>
        </w:trPr>
        <w:tc>
          <w:tcPr>
            <w:tcW w:w="1258" w:type="dxa"/>
            <w:gridSpan w:val="2"/>
            <w:tcBorders>
              <w:top w:val="single" w:color="auto" w:sz="6" w:space="0"/>
              <w:left w:val="double" w:color="auto" w:sz="4" w:space="0"/>
              <w:bottom w:val="double" w:color="auto" w:sz="4" w:space="0"/>
              <w:right w:val="single" w:color="auto" w:sz="6" w:space="0"/>
            </w:tcBorders>
            <w:vAlign w:val="center"/>
          </w:tcPr>
          <w:p>
            <w:pPr>
              <w:topLinePunct/>
              <w:adjustRightInd w:val="0"/>
              <w:snapToGrid w:val="0"/>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备注</w:t>
            </w:r>
          </w:p>
        </w:tc>
        <w:tc>
          <w:tcPr>
            <w:tcW w:w="7562" w:type="dxa"/>
            <w:gridSpan w:val="8"/>
            <w:tcBorders>
              <w:top w:val="single" w:color="auto" w:sz="6" w:space="0"/>
              <w:left w:val="single" w:color="auto" w:sz="6" w:space="0"/>
              <w:bottom w:val="double" w:color="auto" w:sz="4" w:space="0"/>
              <w:right w:val="double" w:color="auto" w:sz="4" w:space="0"/>
            </w:tcBorders>
            <w:vAlign w:val="center"/>
          </w:tcPr>
          <w:p>
            <w:pPr>
              <w:topLinePunct/>
              <w:adjustRightInd w:val="0"/>
              <w:snapToGrid w:val="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附件：营业执照（副本）复印件</w:t>
            </w:r>
          </w:p>
        </w:tc>
      </w:tr>
    </w:tbl>
    <w:p>
      <w:pP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 w:val="30"/>
          <w:szCs w:val="30"/>
          <w:highlight w:val="none"/>
        </w:rPr>
        <w:br w:type="page"/>
      </w:r>
      <w:r>
        <w:rPr>
          <w:rFonts w:hint="eastAsia" w:ascii="仿宋_GB2312" w:hAnsi="仿宋_GB2312" w:eastAsia="仿宋_GB2312" w:cs="仿宋_GB2312"/>
          <w:color w:val="auto"/>
          <w:sz w:val="30"/>
          <w:szCs w:val="30"/>
          <w:highlight w:val="none"/>
        </w:rPr>
        <w:t>附件4          磋商文件规定的基本资格条件证明资料</w:t>
      </w:r>
    </w:p>
    <w:p>
      <w:pPr>
        <w:spacing w:line="480" w:lineRule="exact"/>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备注：</w:t>
      </w:r>
    </w:p>
    <w:p>
      <w:pPr>
        <w:spacing w:line="480" w:lineRule="exact"/>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1、营业执照、法定代表人身份证明、法定代表人授权委托书等前序材料中已附的材料，无需重复提供；</w:t>
      </w:r>
    </w:p>
    <w:p>
      <w:pPr>
        <w:spacing w:line="480" w:lineRule="exact"/>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2、提供2017年度经会计师事务所审计的财务报告复印件（至少包含资产负债表、利润表和现金流量表）；公司成立不足一年的，提供银行出具的资信证明。</w:t>
      </w:r>
    </w:p>
    <w:p>
      <w:pPr>
        <w:spacing w:line="480" w:lineRule="exact"/>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3、依法缴纳税收和社会保险费的证明材料，提供下列材料:</w:t>
      </w:r>
    </w:p>
    <w:p>
      <w:pPr>
        <w:spacing w:line="480" w:lineRule="exact"/>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①缴纳税收证明资料:《税务登记证》复印件，或者近三个月依法缴纳税收的证明（纳税凭证复印件），或者委托他人缴纳的委托代办协议和近三个月的缴纳证明（收据复印件），或者法定征收机关出具的依法免缴税收的证明原件。</w:t>
      </w:r>
    </w:p>
    <w:p>
      <w:pPr>
        <w:spacing w:line="480" w:lineRule="exact"/>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②缴纳社会保险证明资料：《社会保险登记证》复印件，或者近三个月依法缴纳社会保险的证明（缴费凭证复印件），或者委托他人缴纳的委托代办协议和近三个月的缴纳证明（收据复印件），或者法定征收机关出具的依法免缴保险费的证明原件。</w:t>
      </w:r>
    </w:p>
    <w:p>
      <w:pPr>
        <w:spacing w:line="480" w:lineRule="exact"/>
        <w:rPr>
          <w:rFonts w:hint="eastAsia" w:ascii="仿宋_GB2312" w:hAnsi="仿宋_GB2312" w:eastAsia="仿宋_GB2312" w:cs="仿宋_GB2312"/>
          <w:color w:val="auto"/>
          <w:sz w:val="30"/>
          <w:szCs w:val="30"/>
          <w:highlight w:val="none"/>
        </w:rPr>
      </w:pPr>
    </w:p>
    <w:p>
      <w:pPr>
        <w:spacing w:line="480" w:lineRule="exact"/>
        <w:rPr>
          <w:rFonts w:hint="eastAsia" w:ascii="仿宋_GB2312" w:hAnsi="仿宋_GB2312" w:eastAsia="仿宋_GB2312" w:cs="仿宋_GB2312"/>
          <w:color w:val="auto"/>
          <w:sz w:val="30"/>
          <w:szCs w:val="30"/>
          <w:highlight w:val="none"/>
        </w:rPr>
      </w:pPr>
    </w:p>
    <w:p>
      <w:pPr>
        <w:spacing w:line="480" w:lineRule="exac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 w:val="30"/>
          <w:szCs w:val="30"/>
          <w:highlight w:val="none"/>
        </w:rPr>
        <w:t>附件5          磋商文件规定的特定资格条件证明资料</w:t>
      </w:r>
    </w:p>
    <w:p>
      <w:pPr>
        <w:spacing w:line="480" w:lineRule="exact"/>
        <w:ind w:firstLine="420" w:firstLineChars="200"/>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szCs w:val="21"/>
          <w:highlight w:val="none"/>
        </w:rPr>
        <w:t>备注：</w:t>
      </w:r>
      <w:r>
        <w:rPr>
          <w:rFonts w:hint="eastAsia" w:ascii="仿宋_GB2312" w:hAnsi="仿宋_GB2312" w:eastAsia="仿宋_GB2312" w:cs="仿宋_GB2312"/>
          <w:color w:val="auto"/>
          <w:szCs w:val="21"/>
          <w:highlight w:val="none"/>
          <w:lang w:eastAsia="zh-CN"/>
        </w:rPr>
        <w:t>本项目不需要提供</w:t>
      </w:r>
    </w:p>
    <w:p>
      <w:pPr>
        <w:widowControl/>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br w:type="page"/>
      </w:r>
      <w:r>
        <w:rPr>
          <w:rFonts w:hint="eastAsia" w:ascii="仿宋_GB2312" w:hAnsi="仿宋_GB2312" w:eastAsia="仿宋_GB2312" w:cs="仿宋_GB2312"/>
          <w:bCs/>
          <w:color w:val="auto"/>
          <w:sz w:val="30"/>
          <w:szCs w:val="30"/>
          <w:highlight w:val="none"/>
        </w:rPr>
        <w:t>附件6</w:t>
      </w:r>
      <w:r>
        <w:rPr>
          <w:rFonts w:hint="eastAsia" w:ascii="仿宋_GB2312" w:hAnsi="仿宋_GB2312" w:eastAsia="仿宋_GB2312" w:cs="仿宋_GB2312"/>
          <w:color w:val="auto"/>
          <w:sz w:val="30"/>
          <w:szCs w:val="30"/>
          <w:highlight w:val="none"/>
        </w:rPr>
        <w:t xml:space="preserve">                </w:t>
      </w:r>
      <w:r>
        <w:rPr>
          <w:rFonts w:hint="eastAsia" w:ascii="仿宋_GB2312" w:hAnsi="仿宋_GB2312" w:eastAsia="仿宋_GB2312" w:cs="仿宋_GB2312"/>
          <w:bCs/>
          <w:color w:val="auto"/>
          <w:sz w:val="30"/>
          <w:szCs w:val="30"/>
          <w:highlight w:val="none"/>
        </w:rPr>
        <w:t>其他证明资料或说明</w:t>
      </w:r>
    </w:p>
    <w:p>
      <w:pPr>
        <w:widowControl/>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备注：提供磋商文件或评分标准需要提供的相关证明文件复印件</w:t>
      </w:r>
    </w:p>
    <w:p>
      <w:pPr>
        <w:widowControl/>
        <w:adjustRightInd w:val="0"/>
        <w:snapToGrid w:val="0"/>
        <w:jc w:val="center"/>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类似业绩索引表</w:t>
      </w:r>
    </w:p>
    <w:tbl>
      <w:tblPr>
        <w:tblStyle w:val="29"/>
        <w:tblpPr w:leftFromText="180" w:rightFromText="180" w:vertAnchor="text" w:horzAnchor="page" w:tblpX="1560" w:tblpY="295"/>
        <w:tblOverlap w:val="never"/>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5085"/>
        <w:gridCol w:w="3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序号</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项目名称</w:t>
            </w: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证明材料对应页码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1</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2</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3</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p>
        </w:tc>
      </w:tr>
    </w:tbl>
    <w:p>
      <w:pPr>
        <w:widowControl/>
        <w:adjustRightInd w:val="0"/>
        <w:snapToGrid w:val="0"/>
        <w:jc w:val="center"/>
        <w:rPr>
          <w:rFonts w:hint="eastAsia" w:ascii="仿宋_GB2312" w:hAnsi="仿宋_GB2312" w:eastAsia="仿宋_GB2312" w:cs="仿宋_GB2312"/>
          <w:bCs/>
          <w:color w:val="auto"/>
          <w:sz w:val="30"/>
          <w:szCs w:val="30"/>
          <w:highlight w:val="none"/>
        </w:rPr>
      </w:pPr>
    </w:p>
    <w:p>
      <w:pPr>
        <w:widowControl/>
        <w:adjustRightInd w:val="0"/>
        <w:snapToGrid w:val="0"/>
        <w:jc w:val="center"/>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综合实力</w:t>
      </w:r>
      <w:r>
        <w:rPr>
          <w:rFonts w:hint="eastAsia" w:ascii="仿宋_GB2312" w:hAnsi="仿宋_GB2312" w:eastAsia="仿宋_GB2312" w:cs="仿宋_GB2312"/>
          <w:bCs/>
          <w:color w:val="auto"/>
          <w:sz w:val="30"/>
          <w:szCs w:val="30"/>
          <w:highlight w:val="none"/>
          <w:lang w:eastAsia="zh-CN"/>
        </w:rPr>
        <w:t>、企业荣誉</w:t>
      </w:r>
      <w:r>
        <w:rPr>
          <w:rFonts w:hint="eastAsia" w:ascii="仿宋_GB2312" w:hAnsi="仿宋_GB2312" w:eastAsia="仿宋_GB2312" w:cs="仿宋_GB2312"/>
          <w:bCs/>
          <w:color w:val="auto"/>
          <w:sz w:val="30"/>
          <w:szCs w:val="30"/>
          <w:highlight w:val="none"/>
        </w:rPr>
        <w:t>索引表</w:t>
      </w:r>
    </w:p>
    <w:tbl>
      <w:tblPr>
        <w:tblStyle w:val="29"/>
        <w:tblpPr w:leftFromText="180" w:rightFromText="180" w:vertAnchor="text" w:horzAnchor="page" w:tblpX="1560" w:tblpY="295"/>
        <w:tblOverlap w:val="never"/>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5085"/>
        <w:gridCol w:w="3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序号</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lang w:eastAsia="zh-CN"/>
              </w:rPr>
            </w:pPr>
            <w:r>
              <w:rPr>
                <w:rFonts w:hint="eastAsia" w:ascii="仿宋_GB2312" w:hAnsi="仿宋_GB2312" w:eastAsia="仿宋_GB2312" w:cs="仿宋_GB2312"/>
                <w:color w:val="auto"/>
                <w:spacing w:val="0"/>
                <w:sz w:val="24"/>
                <w:szCs w:val="24"/>
                <w:highlight w:val="none"/>
                <w:lang w:eastAsia="zh-CN"/>
              </w:rPr>
              <w:t>资质、荣誉</w:t>
            </w:r>
            <w:r>
              <w:rPr>
                <w:rFonts w:hint="eastAsia" w:ascii="仿宋_GB2312" w:hAnsi="仿宋_GB2312" w:eastAsia="仿宋_GB2312" w:cs="仿宋_GB2312"/>
                <w:color w:val="auto"/>
                <w:spacing w:val="0"/>
                <w:sz w:val="24"/>
                <w:szCs w:val="24"/>
                <w:highlight w:val="none"/>
              </w:rPr>
              <w:t>证书</w:t>
            </w:r>
            <w:r>
              <w:rPr>
                <w:rFonts w:hint="eastAsia" w:ascii="仿宋_GB2312" w:hAnsi="仿宋_GB2312" w:eastAsia="仿宋_GB2312" w:cs="仿宋_GB2312"/>
                <w:color w:val="auto"/>
                <w:spacing w:val="0"/>
                <w:sz w:val="24"/>
                <w:szCs w:val="24"/>
                <w:highlight w:val="none"/>
                <w:lang w:eastAsia="zh-CN"/>
              </w:rPr>
              <w:t>名称</w:t>
            </w: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证明材料对应页码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1</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2</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3</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trPr>
        <w:tc>
          <w:tcPr>
            <w:tcW w:w="95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p>
        </w:tc>
        <w:tc>
          <w:tcPr>
            <w:tcW w:w="5085"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p>
        </w:tc>
        <w:tc>
          <w:tcPr>
            <w:tcW w:w="3020" w:type="dxa"/>
            <w:vAlign w:val="center"/>
          </w:tcPr>
          <w:p>
            <w:pPr>
              <w:widowControl/>
              <w:adjustRightInd w:val="0"/>
              <w:snapToGrid w:val="0"/>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p>
        </w:tc>
      </w:tr>
    </w:tbl>
    <w:p>
      <w:pPr>
        <w:spacing w:line="360" w:lineRule="atLeast"/>
        <w:rPr>
          <w:rFonts w:hint="eastAsia" w:ascii="仿宋_GB2312" w:hAnsi="仿宋_GB2312" w:eastAsia="仿宋_GB2312" w:cs="仿宋_GB2312"/>
          <w:color w:val="auto"/>
          <w:szCs w:val="21"/>
          <w:highlight w:val="none"/>
        </w:rPr>
      </w:pPr>
    </w:p>
    <w:p>
      <w:pPr>
        <w:widowControl/>
        <w:adjustRightInd w:val="0"/>
        <w:snapToGrid w:val="0"/>
        <w:jc w:val="center"/>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团队实力</w:t>
      </w:r>
    </w:p>
    <w:tbl>
      <w:tblPr>
        <w:tblStyle w:val="29"/>
        <w:tblW w:w="81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4"/>
        <w:gridCol w:w="1020"/>
        <w:gridCol w:w="1125"/>
        <w:gridCol w:w="1410"/>
        <w:gridCol w:w="1515"/>
        <w:gridCol w:w="2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904"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1020"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12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410"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职务</w:t>
            </w:r>
          </w:p>
        </w:tc>
        <w:tc>
          <w:tcPr>
            <w:tcW w:w="151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2222"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证明材料对应页码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jc w:val="center"/>
        </w:trPr>
        <w:tc>
          <w:tcPr>
            <w:tcW w:w="904" w:type="dxa"/>
            <w:vAlign w:val="center"/>
          </w:tcPr>
          <w:p>
            <w:pPr>
              <w:widowControl/>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1</w:t>
            </w:r>
          </w:p>
        </w:tc>
        <w:tc>
          <w:tcPr>
            <w:tcW w:w="1020"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125"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410"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515"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2222" w:type="dxa"/>
            <w:vAlign w:val="center"/>
          </w:tcPr>
          <w:p>
            <w:pPr>
              <w:adjustRightInd w:val="0"/>
              <w:snapToGrid w:val="0"/>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904" w:type="dxa"/>
            <w:vAlign w:val="center"/>
          </w:tcPr>
          <w:p>
            <w:pPr>
              <w:widowControl/>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2</w:t>
            </w:r>
          </w:p>
        </w:tc>
        <w:tc>
          <w:tcPr>
            <w:tcW w:w="1020"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125"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410"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515"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2222" w:type="dxa"/>
            <w:vAlign w:val="center"/>
          </w:tcPr>
          <w:p>
            <w:pPr>
              <w:adjustRightInd w:val="0"/>
              <w:snapToGrid w:val="0"/>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904" w:type="dxa"/>
            <w:vAlign w:val="center"/>
          </w:tcPr>
          <w:p>
            <w:pPr>
              <w:widowControl/>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3</w:t>
            </w:r>
          </w:p>
        </w:tc>
        <w:tc>
          <w:tcPr>
            <w:tcW w:w="1020"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125"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410"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1515" w:type="dxa"/>
            <w:vAlign w:val="center"/>
          </w:tcPr>
          <w:p>
            <w:pPr>
              <w:adjustRightInd w:val="0"/>
              <w:snapToGrid w:val="0"/>
              <w:jc w:val="center"/>
              <w:rPr>
                <w:rFonts w:hint="eastAsia" w:ascii="仿宋_GB2312" w:hAnsi="仿宋_GB2312" w:eastAsia="仿宋_GB2312" w:cs="仿宋_GB2312"/>
                <w:color w:val="auto"/>
                <w:sz w:val="24"/>
                <w:highlight w:val="none"/>
              </w:rPr>
            </w:pPr>
          </w:p>
        </w:tc>
        <w:tc>
          <w:tcPr>
            <w:tcW w:w="2222" w:type="dxa"/>
            <w:vAlign w:val="center"/>
          </w:tcPr>
          <w:p>
            <w:pPr>
              <w:adjustRightInd w:val="0"/>
              <w:snapToGrid w:val="0"/>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jc w:val="center"/>
        </w:trPr>
        <w:tc>
          <w:tcPr>
            <w:tcW w:w="904" w:type="dxa"/>
            <w:vAlign w:val="center"/>
          </w:tcPr>
          <w:p>
            <w:pPr>
              <w:widowControl/>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w:t>
            </w:r>
          </w:p>
        </w:tc>
        <w:tc>
          <w:tcPr>
            <w:tcW w:w="1020"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w:t>
            </w:r>
          </w:p>
        </w:tc>
        <w:tc>
          <w:tcPr>
            <w:tcW w:w="112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w:t>
            </w:r>
          </w:p>
        </w:tc>
        <w:tc>
          <w:tcPr>
            <w:tcW w:w="1410"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w:t>
            </w:r>
          </w:p>
        </w:tc>
        <w:tc>
          <w:tcPr>
            <w:tcW w:w="1515"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w:t>
            </w:r>
          </w:p>
        </w:tc>
        <w:tc>
          <w:tcPr>
            <w:tcW w:w="2222" w:type="dxa"/>
            <w:vAlign w:val="center"/>
          </w:tcPr>
          <w:p>
            <w:pPr>
              <w:adjustRightInd w:val="0"/>
              <w:snapToGrid w:val="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w:t>
            </w:r>
          </w:p>
        </w:tc>
      </w:tr>
    </w:tbl>
    <w:p>
      <w:pPr>
        <w:spacing w:line="360" w:lineRule="atLeast"/>
        <w:rPr>
          <w:rFonts w:hint="eastAsia" w:ascii="仿宋_GB2312" w:hAnsi="仿宋_GB2312" w:eastAsia="仿宋_GB2312" w:cs="仿宋_GB2312"/>
          <w:color w:val="auto"/>
          <w:szCs w:val="21"/>
          <w:highlight w:val="none"/>
        </w:rPr>
      </w:pPr>
    </w:p>
    <w:p>
      <w:pPr>
        <w:spacing w:line="360" w:lineRule="atLeas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1"/>
          <w:highlight w:val="none"/>
        </w:rPr>
        <w:t>说明</w:t>
      </w:r>
      <w:r>
        <w:rPr>
          <w:rFonts w:hint="eastAsia" w:ascii="仿宋_GB2312" w:hAnsi="仿宋_GB2312" w:eastAsia="仿宋_GB2312" w:cs="仿宋_GB2312"/>
          <w:color w:val="auto"/>
          <w:highlight w:val="none"/>
        </w:rPr>
        <w:t>：类似业绩、综合实力</w:t>
      </w:r>
      <w:r>
        <w:rPr>
          <w:rFonts w:hint="eastAsia" w:ascii="仿宋_GB2312" w:hAnsi="仿宋_GB2312" w:eastAsia="仿宋_GB2312" w:cs="仿宋_GB2312"/>
          <w:color w:val="auto"/>
          <w:highlight w:val="none"/>
          <w:lang w:eastAsia="zh-CN"/>
        </w:rPr>
        <w:t>、企业荣誉、</w:t>
      </w:r>
      <w:r>
        <w:rPr>
          <w:rFonts w:hint="eastAsia" w:ascii="仿宋_GB2312" w:hAnsi="仿宋_GB2312" w:eastAsia="仿宋_GB2312" w:cs="仿宋_GB2312"/>
          <w:color w:val="auto"/>
          <w:highlight w:val="none"/>
        </w:rPr>
        <w:t>团队实力证明资料等按第三章或者评审因素和标准要求提供，投标人可对表格进行删减或增加。</w:t>
      </w:r>
    </w:p>
    <w:p>
      <w:pPr>
        <w:rPr>
          <w:rFonts w:hint="eastAsia" w:ascii="仿宋_GB2312" w:hAnsi="仿宋_GB2312" w:eastAsia="仿宋_GB2312" w:cs="仿宋_GB2312"/>
          <w:color w:val="auto"/>
          <w:szCs w:val="21"/>
          <w:highlight w:val="none"/>
        </w:rPr>
      </w:pPr>
    </w:p>
    <w:p>
      <w:pPr>
        <w:pStyle w:val="10"/>
        <w:adjustRightInd w:val="0"/>
        <w:snapToGrid w:val="0"/>
        <w:spacing w:line="360" w:lineRule="auto"/>
        <w:outlineLvl w:val="0"/>
        <w:rPr>
          <w:rFonts w:hint="eastAsia" w:ascii="仿宋_GB2312" w:hAnsi="仿宋_GB2312" w:eastAsia="仿宋_GB2312" w:cs="仿宋_GB2312"/>
          <w:bCs/>
          <w:color w:val="auto"/>
          <w:sz w:val="21"/>
          <w:szCs w:val="21"/>
          <w:highlight w:val="none"/>
        </w:rPr>
      </w:pPr>
      <w:r>
        <w:rPr>
          <w:rFonts w:hint="eastAsia" w:ascii="仿宋_GB2312" w:hAnsi="仿宋_GB2312" w:eastAsia="仿宋_GB2312" w:cs="仿宋_GB2312"/>
          <w:color w:val="auto"/>
          <w:sz w:val="21"/>
          <w:szCs w:val="21"/>
          <w:highlight w:val="none"/>
        </w:rPr>
        <w:t>供应商名称：</w:t>
      </w:r>
      <w:r>
        <w:rPr>
          <w:rFonts w:hint="eastAsia" w:ascii="仿宋_GB2312" w:hAnsi="仿宋_GB2312" w:eastAsia="仿宋_GB2312" w:cs="仿宋_GB2312"/>
          <w:color w:val="auto"/>
          <w:sz w:val="21"/>
          <w:szCs w:val="21"/>
          <w:highlight w:val="none"/>
        </w:rPr>
        <w:tab/>
      </w:r>
      <w:r>
        <w:rPr>
          <w:rFonts w:hint="eastAsia" w:ascii="仿宋_GB2312" w:hAnsi="仿宋_GB2312" w:eastAsia="仿宋_GB2312" w:cs="仿宋_GB2312"/>
          <w:color w:val="auto"/>
          <w:sz w:val="21"/>
          <w:szCs w:val="21"/>
          <w:highlight w:val="none"/>
          <w:u w:val="single"/>
        </w:rPr>
        <w:t xml:space="preserve">                </w:t>
      </w:r>
    </w:p>
    <w:p>
      <w:pPr>
        <w:adjustRightInd w:val="0"/>
        <w:snapToGrid w:val="0"/>
        <w:spacing w:line="360" w:lineRule="auto"/>
        <w:outlineLvl w:val="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法定代表人或其委托代理人(签字)：</w:t>
      </w:r>
      <w:r>
        <w:rPr>
          <w:rFonts w:hint="eastAsia" w:ascii="仿宋_GB2312" w:hAnsi="仿宋_GB2312" w:eastAsia="仿宋_GB2312" w:cs="仿宋_GB2312"/>
          <w:color w:val="auto"/>
          <w:szCs w:val="21"/>
          <w:highlight w:val="none"/>
          <w:u w:val="single"/>
        </w:rPr>
        <w:t xml:space="preserve">              </w:t>
      </w:r>
    </w:p>
    <w:p>
      <w:pPr>
        <w:spacing w:line="360" w:lineRule="exac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 xml:space="preserve">日期： </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年 </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月 </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日</w:t>
      </w:r>
    </w:p>
    <w:p>
      <w:pPr>
        <w:spacing w:line="36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color w:val="auto"/>
          <w:szCs w:val="21"/>
          <w:highlight w:val="none"/>
        </w:rPr>
        <w:br w:type="page"/>
      </w:r>
      <w:r>
        <w:rPr>
          <w:rFonts w:hint="eastAsia" w:ascii="仿宋_GB2312" w:hAnsi="仿宋_GB2312" w:eastAsia="仿宋_GB2312" w:cs="仿宋_GB2312"/>
          <w:b/>
          <w:color w:val="auto"/>
          <w:sz w:val="30"/>
          <w:szCs w:val="30"/>
          <w:highlight w:val="none"/>
          <w:lang w:eastAsia="zh-CN"/>
        </w:rPr>
        <w:t>四</w:t>
      </w:r>
      <w:r>
        <w:rPr>
          <w:rFonts w:hint="eastAsia" w:ascii="仿宋_GB2312" w:hAnsi="仿宋_GB2312" w:eastAsia="仿宋_GB2312" w:cs="仿宋_GB2312"/>
          <w:b/>
          <w:color w:val="auto"/>
          <w:sz w:val="30"/>
          <w:szCs w:val="30"/>
          <w:highlight w:val="none"/>
        </w:rPr>
        <w:t>、技术/商务响应与偏离表</w:t>
      </w:r>
    </w:p>
    <w:p>
      <w:pPr>
        <w:adjustRightInd w:val="0"/>
        <w:snapToGrid w:val="0"/>
        <w:ind w:left="-88" w:leftChars="-42" w:firstLine="315" w:firstLineChars="150"/>
        <w:rPr>
          <w:rFonts w:hint="eastAsia" w:ascii="仿宋_GB2312" w:hAnsi="仿宋_GB2312" w:eastAsia="仿宋_GB2312" w:cs="仿宋_GB2312"/>
          <w:color w:val="auto"/>
          <w:szCs w:val="21"/>
          <w:highlight w:val="none"/>
          <w:u w:val="single"/>
        </w:rPr>
      </w:pPr>
    </w:p>
    <w:tbl>
      <w:tblPr>
        <w:tblStyle w:val="29"/>
        <w:tblW w:w="8742"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
      <w:tblGrid>
        <w:gridCol w:w="634"/>
        <w:gridCol w:w="1685"/>
        <w:gridCol w:w="1948"/>
        <w:gridCol w:w="2600"/>
        <w:gridCol w:w="1214"/>
        <w:gridCol w:w="661"/>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Ex>
        <w:trPr>
          <w:trHeight w:val="504" w:hRule="atLeast"/>
          <w:jc w:val="center"/>
        </w:trPr>
        <w:tc>
          <w:tcPr>
            <w:tcW w:w="634" w:type="dxa"/>
            <w:tcBorders>
              <w:top w:val="double" w:color="auto" w:sz="4" w:space="0"/>
            </w:tcBorders>
            <w:vAlign w:val="center"/>
          </w:tcPr>
          <w:p>
            <w:pPr>
              <w:adjustRightInd w:val="0"/>
              <w:snapToGrid w:val="0"/>
              <w:ind w:left="-88" w:leftChars="-42"/>
              <w:jc w:val="center"/>
              <w:rPr>
                <w:rFonts w:hint="eastAsia" w:ascii="仿宋_GB2312" w:hAnsi="仿宋_GB2312" w:eastAsia="仿宋_GB2312" w:cs="仿宋_GB2312"/>
                <w:bCs/>
                <w:color w:val="auto"/>
                <w:szCs w:val="21"/>
                <w:highlight w:val="none"/>
              </w:rPr>
            </w:pPr>
            <w:r>
              <w:rPr>
                <w:rFonts w:hint="eastAsia" w:ascii="仿宋_GB2312" w:hAnsi="仿宋_GB2312" w:eastAsia="仿宋_GB2312" w:cs="仿宋_GB2312"/>
                <w:bCs/>
                <w:color w:val="auto"/>
                <w:szCs w:val="21"/>
                <w:highlight w:val="none"/>
              </w:rPr>
              <w:t>序号</w:t>
            </w:r>
          </w:p>
        </w:tc>
        <w:tc>
          <w:tcPr>
            <w:tcW w:w="1685" w:type="dxa"/>
            <w:tcBorders>
              <w:top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磋商文件条目号</w:t>
            </w:r>
          </w:p>
        </w:tc>
        <w:tc>
          <w:tcPr>
            <w:tcW w:w="1948" w:type="dxa"/>
            <w:tcBorders>
              <w:top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采购规格/商务条款</w:t>
            </w:r>
          </w:p>
        </w:tc>
        <w:tc>
          <w:tcPr>
            <w:tcW w:w="2600" w:type="dxa"/>
            <w:tcBorders>
              <w:top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响应文件的规格/商务条款</w:t>
            </w:r>
          </w:p>
        </w:tc>
        <w:tc>
          <w:tcPr>
            <w:tcW w:w="1214" w:type="dxa"/>
            <w:tcBorders>
              <w:top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响应与偏离</w:t>
            </w:r>
          </w:p>
        </w:tc>
        <w:tc>
          <w:tcPr>
            <w:tcW w:w="661" w:type="dxa"/>
            <w:tcBorders>
              <w:top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说明</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Ex>
        <w:trPr>
          <w:trHeight w:val="505" w:hRule="atLeast"/>
          <w:jc w:val="center"/>
        </w:trPr>
        <w:tc>
          <w:tcPr>
            <w:tcW w:w="634" w:type="dxa"/>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685"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948"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2600"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214"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661"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Ex>
        <w:trPr>
          <w:trHeight w:val="505" w:hRule="atLeast"/>
          <w:jc w:val="center"/>
        </w:trPr>
        <w:tc>
          <w:tcPr>
            <w:tcW w:w="634" w:type="dxa"/>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685"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948"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2600"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214"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661"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Ex>
        <w:trPr>
          <w:trHeight w:val="505" w:hRule="atLeast"/>
          <w:jc w:val="center"/>
        </w:trPr>
        <w:tc>
          <w:tcPr>
            <w:tcW w:w="634" w:type="dxa"/>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685"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948"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2600"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214"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661"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Ex>
        <w:trPr>
          <w:trHeight w:val="505" w:hRule="atLeast"/>
          <w:jc w:val="center"/>
        </w:trPr>
        <w:tc>
          <w:tcPr>
            <w:tcW w:w="634" w:type="dxa"/>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685"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948"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2600"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214"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661" w:type="dxa"/>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28" w:type="dxa"/>
            <w:bottom w:w="0" w:type="dxa"/>
            <w:right w:w="28" w:type="dxa"/>
          </w:tblCellMar>
        </w:tblPrEx>
        <w:trPr>
          <w:trHeight w:val="505" w:hRule="atLeast"/>
          <w:jc w:val="center"/>
        </w:trPr>
        <w:tc>
          <w:tcPr>
            <w:tcW w:w="634" w:type="dxa"/>
            <w:tcBorders>
              <w:bottom w:val="double" w:color="auto" w:sz="4" w:space="0"/>
            </w:tcBorders>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685" w:type="dxa"/>
            <w:tcBorders>
              <w:bottom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948" w:type="dxa"/>
            <w:tcBorders>
              <w:bottom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2600" w:type="dxa"/>
            <w:tcBorders>
              <w:bottom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1214" w:type="dxa"/>
            <w:tcBorders>
              <w:bottom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c>
          <w:tcPr>
            <w:tcW w:w="661" w:type="dxa"/>
            <w:tcBorders>
              <w:bottom w:val="double" w:color="auto" w:sz="4" w:space="0"/>
            </w:tcBorders>
            <w:vAlign w:val="center"/>
          </w:tcPr>
          <w:p>
            <w:pPr>
              <w:adjustRightInd w:val="0"/>
              <w:snapToGrid w:val="0"/>
              <w:ind w:left="-88" w:leftChars="-42"/>
              <w:jc w:val="center"/>
              <w:rPr>
                <w:rFonts w:hint="eastAsia" w:ascii="仿宋_GB2312" w:hAnsi="仿宋_GB2312" w:eastAsia="仿宋_GB2312" w:cs="仿宋_GB2312"/>
                <w:color w:val="auto"/>
                <w:szCs w:val="21"/>
                <w:highlight w:val="none"/>
              </w:rPr>
            </w:pPr>
          </w:p>
        </w:tc>
      </w:tr>
    </w:tbl>
    <w:p>
      <w:pPr>
        <w:adjustRightInd w:val="0"/>
        <w:snapToGrid w:val="0"/>
        <w:spacing w:line="360" w:lineRule="auto"/>
        <w:ind w:left="-88" w:leftChars="-42"/>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说明：1、“响应与偏离”应注明“响应”或“偏离”。</w:t>
      </w:r>
    </w:p>
    <w:p>
      <w:pPr>
        <w:adjustRightInd w:val="0"/>
        <w:snapToGrid w:val="0"/>
        <w:spacing w:line="360" w:lineRule="auto"/>
        <w:ind w:left="567"/>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2、属磋商文件规定可能变动的内容在“说明”栏中注明。</w:t>
      </w:r>
    </w:p>
    <w:p>
      <w:pPr>
        <w:pStyle w:val="10"/>
        <w:adjustRightInd w:val="0"/>
        <w:snapToGrid w:val="0"/>
        <w:spacing w:line="360" w:lineRule="auto"/>
        <w:outlineLvl w:val="0"/>
        <w:rPr>
          <w:rFonts w:hint="eastAsia" w:ascii="仿宋_GB2312" w:hAnsi="仿宋_GB2312" w:eastAsia="仿宋_GB2312" w:cs="仿宋_GB2312"/>
          <w:color w:val="auto"/>
          <w:sz w:val="21"/>
          <w:szCs w:val="21"/>
          <w:highlight w:val="none"/>
        </w:rPr>
      </w:pPr>
    </w:p>
    <w:p>
      <w:pPr>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sz w:val="24"/>
          <w:szCs w:val="36"/>
          <w:highlight w:val="none"/>
          <w:shd w:val="clear" w:color="auto" w:fill="FFFFFF"/>
        </w:rPr>
        <w:t>投标文件应当对招标文件提出的要求和条件作出明确响应。</w:t>
      </w:r>
    </w:p>
    <w:p>
      <w:pPr>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pStyle w:val="10"/>
        <w:adjustRightInd w:val="0"/>
        <w:snapToGrid w:val="0"/>
        <w:spacing w:line="360" w:lineRule="auto"/>
        <w:outlineLvl w:val="0"/>
        <w:rPr>
          <w:rFonts w:hint="eastAsia" w:ascii="仿宋_GB2312" w:hAnsi="仿宋_GB2312" w:eastAsia="仿宋_GB2312" w:cs="仿宋_GB2312"/>
          <w:bCs/>
          <w:color w:val="auto"/>
          <w:sz w:val="21"/>
          <w:szCs w:val="21"/>
          <w:highlight w:val="none"/>
        </w:rPr>
      </w:pPr>
      <w:r>
        <w:rPr>
          <w:rFonts w:hint="eastAsia" w:ascii="仿宋_GB2312" w:hAnsi="仿宋_GB2312" w:eastAsia="仿宋_GB2312" w:cs="仿宋_GB2312"/>
          <w:color w:val="auto"/>
          <w:sz w:val="21"/>
          <w:szCs w:val="21"/>
          <w:highlight w:val="none"/>
        </w:rPr>
        <w:t>供应商名称：</w:t>
      </w:r>
      <w:r>
        <w:rPr>
          <w:rFonts w:hint="eastAsia" w:ascii="仿宋_GB2312" w:hAnsi="仿宋_GB2312" w:eastAsia="仿宋_GB2312" w:cs="仿宋_GB2312"/>
          <w:color w:val="auto"/>
          <w:sz w:val="21"/>
          <w:szCs w:val="21"/>
          <w:highlight w:val="none"/>
          <w:u w:val="single"/>
        </w:rPr>
        <w:t xml:space="preserve">                   </w:t>
      </w:r>
    </w:p>
    <w:p>
      <w:pPr>
        <w:adjustRightInd w:val="0"/>
        <w:snapToGrid w:val="0"/>
        <w:spacing w:line="360" w:lineRule="auto"/>
        <w:outlineLvl w:val="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法定代表人或其委托代理人(签字)：</w:t>
      </w:r>
      <w:r>
        <w:rPr>
          <w:rFonts w:hint="eastAsia" w:ascii="仿宋_GB2312" w:hAnsi="仿宋_GB2312" w:eastAsia="仿宋_GB2312" w:cs="仿宋_GB2312"/>
          <w:color w:val="auto"/>
          <w:szCs w:val="21"/>
          <w:highlight w:val="none"/>
          <w:u w:val="single"/>
        </w:rPr>
        <w:t xml:space="preserve">                   </w:t>
      </w:r>
    </w:p>
    <w:p>
      <w:pPr>
        <w:adjustRightInd w:val="0"/>
        <w:snapToGrid w:val="0"/>
        <w:spacing w:line="360" w:lineRule="auto"/>
        <w:outlineLvl w:val="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 xml:space="preserve">日          期： </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年 </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月 </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 xml:space="preserve"> 日</w:t>
      </w:r>
    </w:p>
    <w:p>
      <w:pPr>
        <w:pStyle w:val="9"/>
        <w:numPr>
          <w:ilvl w:val="0"/>
          <w:numId w:val="7"/>
        </w:numPr>
        <w:adjustRightInd w:val="0"/>
        <w:snapToGrid w:val="0"/>
        <w:spacing w:line="360" w:lineRule="auto"/>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br w:type="page"/>
      </w:r>
      <w:r>
        <w:rPr>
          <w:rFonts w:hint="eastAsia" w:ascii="仿宋_GB2312" w:hAnsi="仿宋_GB2312" w:eastAsia="仿宋_GB2312" w:cs="仿宋_GB2312"/>
          <w:b/>
          <w:color w:val="auto"/>
          <w:sz w:val="30"/>
          <w:szCs w:val="30"/>
          <w:highlight w:val="none"/>
        </w:rPr>
        <w:t>技术方案</w:t>
      </w:r>
    </w:p>
    <w:p>
      <w:pPr>
        <w:pStyle w:val="9"/>
        <w:adjustRightInd w:val="0"/>
        <w:snapToGrid w:val="0"/>
        <w:spacing w:line="360" w:lineRule="auto"/>
        <w:rPr>
          <w:rFonts w:hint="eastAsia" w:ascii="仿宋_GB2312" w:hAnsi="仿宋_GB2312" w:eastAsia="仿宋_GB2312" w:cs="仿宋_GB2312"/>
          <w:bCs/>
          <w:color w:val="auto"/>
          <w:highlight w:val="none"/>
        </w:rPr>
      </w:pPr>
    </w:p>
    <w:p>
      <w:pPr>
        <w:pStyle w:val="9"/>
        <w:adjustRightInd w:val="0"/>
        <w:snapToGrid w:val="0"/>
        <w:spacing w:line="360" w:lineRule="auto"/>
        <w:rPr>
          <w:rFonts w:hint="eastAsia" w:ascii="仿宋_GB2312" w:hAnsi="仿宋_GB2312" w:eastAsia="仿宋_GB2312" w:cs="仿宋_GB2312"/>
          <w:bCs/>
          <w:color w:val="auto"/>
          <w:highlight w:val="none"/>
        </w:rPr>
      </w:pPr>
      <w:r>
        <w:rPr>
          <w:rFonts w:hint="eastAsia" w:ascii="仿宋_GB2312" w:hAnsi="仿宋_GB2312" w:eastAsia="仿宋_GB2312" w:cs="仿宋_GB2312"/>
          <w:bCs/>
          <w:color w:val="auto"/>
          <w:highlight w:val="none"/>
        </w:rPr>
        <w:t>技术部分由投标人根据附页1 评审因素和标准与第三章 采购需求</w:t>
      </w:r>
      <w:r>
        <w:rPr>
          <w:rFonts w:hint="eastAsia" w:ascii="仿宋_GB2312" w:hAnsi="仿宋_GB2312" w:eastAsia="仿宋_GB2312" w:cs="仿宋_GB2312"/>
          <w:color w:val="auto"/>
          <w:highlight w:val="none"/>
        </w:rPr>
        <w:t>自行编制</w:t>
      </w:r>
      <w:r>
        <w:rPr>
          <w:rFonts w:hint="eastAsia" w:ascii="仿宋_GB2312" w:hAnsi="仿宋_GB2312" w:eastAsia="仿宋_GB2312" w:cs="仿宋_GB2312"/>
          <w:bCs/>
          <w:color w:val="auto"/>
          <w:highlight w:val="none"/>
        </w:rPr>
        <w:t>，格式自拟。</w:t>
      </w:r>
    </w:p>
    <w:p>
      <w:pPr>
        <w:pStyle w:val="9"/>
        <w:adjustRightInd w:val="0"/>
        <w:snapToGrid w:val="0"/>
        <w:spacing w:line="360" w:lineRule="auto"/>
        <w:rPr>
          <w:rFonts w:hint="eastAsia" w:ascii="仿宋_GB2312" w:hAnsi="仿宋_GB2312" w:eastAsia="仿宋_GB2312" w:cs="仿宋_GB2312"/>
          <w:bCs/>
          <w:color w:val="auto"/>
          <w:sz w:val="30"/>
          <w:szCs w:val="30"/>
          <w:highlight w:val="none"/>
        </w:rPr>
      </w:pPr>
    </w:p>
    <w:p>
      <w:pPr>
        <w:adjustRightInd w:val="0"/>
        <w:snapToGrid w:val="0"/>
        <w:spacing w:line="360" w:lineRule="auto"/>
        <w:rPr>
          <w:rFonts w:hint="eastAsia" w:ascii="仿宋_GB2312" w:hAnsi="仿宋_GB2312" w:eastAsia="仿宋_GB2312" w:cs="仿宋_GB2312"/>
          <w:color w:val="auto"/>
          <w:szCs w:val="21"/>
          <w:highlight w:val="none"/>
        </w:rPr>
      </w:pPr>
    </w:p>
    <w:p>
      <w:pPr>
        <w:pStyle w:val="10"/>
        <w:adjustRightInd w:val="0"/>
        <w:snapToGrid w:val="0"/>
        <w:spacing w:line="360" w:lineRule="auto"/>
        <w:outlineLvl w:val="0"/>
        <w:rPr>
          <w:rFonts w:hint="eastAsia" w:ascii="仿宋_GB2312" w:hAnsi="仿宋_GB2312" w:eastAsia="仿宋_GB2312" w:cs="仿宋_GB2312"/>
          <w:bCs/>
          <w:color w:val="auto"/>
          <w:sz w:val="21"/>
          <w:szCs w:val="21"/>
          <w:highlight w:val="none"/>
        </w:rPr>
      </w:pPr>
      <w:r>
        <w:rPr>
          <w:rFonts w:hint="eastAsia" w:ascii="仿宋_GB2312" w:hAnsi="仿宋_GB2312" w:eastAsia="仿宋_GB2312" w:cs="仿宋_GB2312"/>
          <w:color w:val="auto"/>
          <w:sz w:val="21"/>
          <w:szCs w:val="21"/>
          <w:highlight w:val="none"/>
        </w:rPr>
        <w:t>供应商名称：</w:t>
      </w:r>
    </w:p>
    <w:p>
      <w:pPr>
        <w:adjustRightInd w:val="0"/>
        <w:snapToGrid w:val="0"/>
        <w:spacing w:line="360" w:lineRule="auto"/>
        <w:outlineLvl w:val="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法定代表人或其委托代理人(签字)：</w:t>
      </w:r>
    </w:p>
    <w:p>
      <w:pPr>
        <w:spacing w:line="360" w:lineRule="exac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日期：  年  月  日</w:t>
      </w:r>
    </w:p>
    <w:p>
      <w:pPr>
        <w:adjustRightInd w:val="0"/>
        <w:snapToGrid w:val="0"/>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br w:type="page"/>
      </w:r>
    </w:p>
    <w:p>
      <w:pPr>
        <w:jc w:val="center"/>
        <w:rPr>
          <w:rFonts w:hint="eastAsia" w:ascii="仿宋_GB2312" w:hAnsi="仿宋_GB2312" w:eastAsia="仿宋_GB2312" w:cs="仿宋_GB2312"/>
          <w:color w:val="auto"/>
          <w:kern w:val="0"/>
          <w:sz w:val="30"/>
          <w:szCs w:val="30"/>
          <w:highlight w:val="none"/>
        </w:rPr>
      </w:pPr>
      <w:r>
        <w:rPr>
          <w:rFonts w:hint="eastAsia" w:ascii="仿宋_GB2312" w:hAnsi="仿宋_GB2312" w:eastAsia="仿宋_GB2312" w:cs="仿宋_GB2312"/>
          <w:b/>
          <w:color w:val="auto"/>
          <w:sz w:val="30"/>
          <w:szCs w:val="30"/>
          <w:highlight w:val="none"/>
          <w:lang w:eastAsia="zh-CN"/>
        </w:rPr>
        <w:t>六</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pacing w:val="6"/>
          <w:kern w:val="0"/>
          <w:sz w:val="30"/>
          <w:szCs w:val="30"/>
          <w:highlight w:val="none"/>
        </w:rPr>
        <w:t>中小企业声明函</w:t>
      </w:r>
    </w:p>
    <w:p>
      <w:pPr>
        <w:widowControl/>
        <w:adjustRightInd w:val="0"/>
        <w:snapToGrid w:val="0"/>
        <w:spacing w:beforeLines="50" w:line="360" w:lineRule="auto"/>
        <w:ind w:firstLine="444" w:firstLineChars="200"/>
        <w:jc w:val="center"/>
        <w:rPr>
          <w:rFonts w:hint="eastAsia" w:ascii="仿宋_GB2312" w:hAnsi="仿宋_GB2312" w:eastAsia="仿宋_GB2312" w:cs="仿宋_GB2312"/>
          <w:color w:val="auto"/>
          <w:spacing w:val="6"/>
          <w:kern w:val="0"/>
          <w:szCs w:val="21"/>
          <w:highlight w:val="none"/>
        </w:rPr>
      </w:pPr>
    </w:p>
    <w:p>
      <w:pPr>
        <w:widowControl/>
        <w:adjustRightInd w:val="0"/>
        <w:snapToGrid w:val="0"/>
        <w:spacing w:line="360" w:lineRule="auto"/>
        <w:ind w:firstLine="444"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pacing w:val="6"/>
          <w:kern w:val="0"/>
          <w:szCs w:val="21"/>
          <w:highlight w:val="none"/>
        </w:rPr>
        <w:t>本公司郑重声明，根据《政府采购促进中小企业发展暂行办法》（财库[2011]181号）的规定，本公司为</w:t>
      </w:r>
      <w:r>
        <w:rPr>
          <w:rFonts w:hint="eastAsia" w:ascii="仿宋_GB2312" w:hAnsi="仿宋_GB2312" w:eastAsia="仿宋_GB2312" w:cs="仿宋_GB2312"/>
          <w:color w:val="auto"/>
          <w:spacing w:val="6"/>
          <w:kern w:val="0"/>
          <w:szCs w:val="21"/>
          <w:highlight w:val="none"/>
          <w:u w:val="single"/>
        </w:rPr>
        <w:t xml:space="preserve">    </w:t>
      </w:r>
      <w:r>
        <w:rPr>
          <w:rFonts w:hint="eastAsia" w:ascii="仿宋_GB2312" w:hAnsi="仿宋_GB2312" w:eastAsia="仿宋_GB2312" w:cs="仿宋_GB2312"/>
          <w:color w:val="auto"/>
          <w:spacing w:val="6"/>
          <w:kern w:val="0"/>
          <w:szCs w:val="21"/>
          <w:highlight w:val="none"/>
        </w:rPr>
        <w:t>（请填写：中型、小型、微型）企业。即，本公司同时满足以下条件：</w:t>
      </w:r>
    </w:p>
    <w:p>
      <w:pPr>
        <w:widowControl/>
        <w:adjustRightInd w:val="0"/>
        <w:snapToGrid w:val="0"/>
        <w:spacing w:line="360" w:lineRule="auto"/>
        <w:ind w:firstLine="444"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pacing w:val="6"/>
          <w:kern w:val="0"/>
          <w:szCs w:val="21"/>
          <w:highlight w:val="none"/>
        </w:rPr>
        <w:t>1.根据《工业和信息化部、国家统计局、国家发展和改革委员会、财政部关于印发中小企业划型标准规定的通知》（工信部联企业[2011]300号）规定的划分标准，本公司为</w:t>
      </w:r>
      <w:r>
        <w:rPr>
          <w:rFonts w:hint="eastAsia" w:ascii="仿宋_GB2312" w:hAnsi="仿宋_GB2312" w:eastAsia="仿宋_GB2312" w:cs="仿宋_GB2312"/>
          <w:color w:val="auto"/>
          <w:spacing w:val="6"/>
          <w:kern w:val="0"/>
          <w:szCs w:val="21"/>
          <w:highlight w:val="none"/>
          <w:u w:val="single"/>
        </w:rPr>
        <w:t xml:space="preserve">     </w:t>
      </w:r>
      <w:r>
        <w:rPr>
          <w:rFonts w:hint="eastAsia" w:ascii="仿宋_GB2312" w:hAnsi="仿宋_GB2312" w:eastAsia="仿宋_GB2312" w:cs="仿宋_GB2312"/>
          <w:color w:val="auto"/>
          <w:spacing w:val="6"/>
          <w:kern w:val="0"/>
          <w:szCs w:val="21"/>
          <w:highlight w:val="none"/>
        </w:rPr>
        <w:t>（请填写：中型、小型、微型）企业。</w:t>
      </w:r>
    </w:p>
    <w:p>
      <w:pPr>
        <w:widowControl/>
        <w:adjustRightInd w:val="0"/>
        <w:snapToGrid w:val="0"/>
        <w:spacing w:line="360" w:lineRule="auto"/>
        <w:ind w:firstLine="444"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pacing w:val="6"/>
          <w:kern w:val="0"/>
          <w:szCs w:val="21"/>
          <w:highlight w:val="none"/>
        </w:rPr>
        <w:t>2.本公司参加</w:t>
      </w:r>
      <w:r>
        <w:rPr>
          <w:rFonts w:hint="eastAsia" w:ascii="仿宋_GB2312" w:hAnsi="仿宋_GB2312" w:eastAsia="仿宋_GB2312" w:cs="仿宋_GB2312"/>
          <w:color w:val="auto"/>
          <w:spacing w:val="6"/>
          <w:kern w:val="0"/>
          <w:szCs w:val="21"/>
          <w:highlight w:val="none"/>
          <w:u w:val="single"/>
        </w:rPr>
        <w:t xml:space="preserve">            </w:t>
      </w:r>
      <w:r>
        <w:rPr>
          <w:rFonts w:hint="eastAsia" w:ascii="仿宋_GB2312" w:hAnsi="仿宋_GB2312" w:eastAsia="仿宋_GB2312" w:cs="仿宋_GB2312"/>
          <w:color w:val="auto"/>
          <w:spacing w:val="6"/>
          <w:kern w:val="0"/>
          <w:szCs w:val="21"/>
          <w:highlight w:val="none"/>
        </w:rPr>
        <w:t>单位的</w:t>
      </w:r>
      <w:r>
        <w:rPr>
          <w:rFonts w:hint="eastAsia" w:ascii="仿宋_GB2312" w:hAnsi="仿宋_GB2312" w:eastAsia="仿宋_GB2312" w:cs="仿宋_GB2312"/>
          <w:color w:val="auto"/>
          <w:spacing w:val="6"/>
          <w:kern w:val="0"/>
          <w:szCs w:val="21"/>
          <w:highlight w:val="none"/>
          <w:u w:val="single"/>
        </w:rPr>
        <w:t xml:space="preserve">            </w:t>
      </w:r>
      <w:r>
        <w:rPr>
          <w:rFonts w:hint="eastAsia" w:ascii="仿宋_GB2312" w:hAnsi="仿宋_GB2312" w:eastAsia="仿宋_GB2312" w:cs="仿宋_GB2312"/>
          <w:color w:val="auto"/>
          <w:spacing w:val="6"/>
          <w:kern w:val="0"/>
          <w:szCs w:val="21"/>
          <w:highlight w:val="none"/>
        </w:rPr>
        <w:t xml:space="preserve"> 项目采购活动提供本企业制造的货物，由本企业承担工程、提供服务，或者提供其他</w:t>
      </w:r>
      <w:r>
        <w:rPr>
          <w:rFonts w:hint="eastAsia" w:ascii="仿宋_GB2312" w:hAnsi="仿宋_GB2312" w:eastAsia="仿宋_GB2312" w:cs="仿宋_GB2312"/>
          <w:color w:val="auto"/>
          <w:spacing w:val="6"/>
          <w:kern w:val="0"/>
          <w:szCs w:val="21"/>
          <w:highlight w:val="none"/>
          <w:u w:val="single"/>
        </w:rPr>
        <w:t xml:space="preserve">     </w:t>
      </w:r>
      <w:r>
        <w:rPr>
          <w:rFonts w:hint="eastAsia" w:ascii="仿宋_GB2312" w:hAnsi="仿宋_GB2312" w:eastAsia="仿宋_GB2312" w:cs="仿宋_GB2312"/>
          <w:color w:val="auto"/>
          <w:spacing w:val="6"/>
          <w:kern w:val="0"/>
          <w:szCs w:val="21"/>
          <w:highlight w:val="none"/>
        </w:rPr>
        <w:t>（请填写：中型、小型、微型）企业制造的货物。本条所称货物不包括使用大型企业注册商标的货物。</w:t>
      </w:r>
    </w:p>
    <w:p>
      <w:pPr>
        <w:widowControl/>
        <w:adjustRightInd w:val="0"/>
        <w:snapToGrid w:val="0"/>
        <w:spacing w:line="360" w:lineRule="auto"/>
        <w:ind w:firstLine="444" w:firstLineChars="20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spacing w:val="6"/>
          <w:kern w:val="0"/>
          <w:szCs w:val="21"/>
          <w:highlight w:val="none"/>
        </w:rPr>
        <w:t>本公司对上述声明的真实性负责。如有虚假，将依法承担相应责任。</w:t>
      </w:r>
    </w:p>
    <w:p>
      <w:pPr>
        <w:widowControl/>
        <w:adjustRightInd w:val="0"/>
        <w:snapToGrid w:val="0"/>
        <w:spacing w:line="360" w:lineRule="auto"/>
        <w:ind w:firstLine="420" w:firstLineChars="200"/>
        <w:jc w:val="left"/>
        <w:rPr>
          <w:rFonts w:hint="eastAsia" w:ascii="仿宋_GB2312" w:hAnsi="仿宋_GB2312" w:eastAsia="仿宋_GB2312" w:cs="仿宋_GB2312"/>
          <w:color w:val="auto"/>
          <w:kern w:val="0"/>
          <w:szCs w:val="21"/>
          <w:highlight w:val="none"/>
        </w:rPr>
      </w:pPr>
    </w:p>
    <w:p>
      <w:pPr>
        <w:widowControl/>
        <w:adjustRightInd w:val="0"/>
        <w:snapToGrid w:val="0"/>
        <w:spacing w:line="360" w:lineRule="auto"/>
        <w:ind w:firstLine="444" w:firstLineChars="200"/>
        <w:rPr>
          <w:rFonts w:hint="eastAsia" w:ascii="仿宋_GB2312" w:hAnsi="仿宋_GB2312" w:eastAsia="仿宋_GB2312" w:cs="仿宋_GB2312"/>
          <w:color w:val="auto"/>
          <w:spacing w:val="6"/>
          <w:kern w:val="0"/>
          <w:szCs w:val="21"/>
          <w:highlight w:val="none"/>
        </w:rPr>
      </w:pPr>
    </w:p>
    <w:p>
      <w:pPr>
        <w:widowControl/>
        <w:adjustRightInd w:val="0"/>
        <w:snapToGrid w:val="0"/>
        <w:spacing w:line="360" w:lineRule="auto"/>
        <w:ind w:firstLine="4251" w:firstLineChars="1915"/>
        <w:jc w:val="left"/>
        <w:rPr>
          <w:rFonts w:hint="eastAsia" w:ascii="仿宋_GB2312" w:hAnsi="仿宋_GB2312" w:eastAsia="仿宋_GB2312" w:cs="仿宋_GB2312"/>
          <w:color w:val="auto"/>
          <w:spacing w:val="6"/>
          <w:kern w:val="0"/>
          <w:szCs w:val="21"/>
          <w:highlight w:val="none"/>
        </w:rPr>
      </w:pPr>
      <w:r>
        <w:rPr>
          <w:rFonts w:hint="eastAsia" w:ascii="仿宋_GB2312" w:hAnsi="仿宋_GB2312" w:eastAsia="仿宋_GB2312" w:cs="仿宋_GB2312"/>
          <w:color w:val="auto"/>
          <w:spacing w:val="6"/>
          <w:kern w:val="0"/>
          <w:szCs w:val="21"/>
          <w:highlight w:val="none"/>
        </w:rPr>
        <w:t>供应商名称（盖单位章）：</w:t>
      </w:r>
    </w:p>
    <w:p>
      <w:pPr>
        <w:widowControl/>
        <w:adjustRightInd w:val="0"/>
        <w:snapToGrid w:val="0"/>
        <w:spacing w:line="360" w:lineRule="auto"/>
        <w:ind w:firstLine="4251" w:firstLineChars="1915"/>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pacing w:val="6"/>
          <w:kern w:val="0"/>
          <w:szCs w:val="21"/>
          <w:highlight w:val="none"/>
        </w:rPr>
        <w:t>日期：</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年</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月</w:t>
      </w:r>
      <w:r>
        <w:rPr>
          <w:rFonts w:hint="eastAsia" w:ascii="仿宋_GB2312" w:hAnsi="仿宋_GB2312" w:eastAsia="仿宋_GB2312" w:cs="仿宋_GB2312"/>
          <w:color w:val="auto"/>
          <w:szCs w:val="21"/>
          <w:highlight w:val="none"/>
          <w:u w:val="single"/>
        </w:rPr>
        <w:t xml:space="preserve">   </w:t>
      </w:r>
      <w:r>
        <w:rPr>
          <w:rFonts w:hint="eastAsia" w:ascii="仿宋_GB2312" w:hAnsi="仿宋_GB2312" w:eastAsia="仿宋_GB2312" w:cs="仿宋_GB2312"/>
          <w:color w:val="auto"/>
          <w:szCs w:val="21"/>
          <w:highlight w:val="none"/>
        </w:rPr>
        <w:t>日</w:t>
      </w:r>
    </w:p>
    <w:p>
      <w:pPr>
        <w:adjustRightInd w:val="0"/>
        <w:snapToGrid w:val="0"/>
        <w:spacing w:before="50" w:line="360" w:lineRule="auto"/>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Cs/>
          <w:color w:val="auto"/>
          <w:szCs w:val="21"/>
          <w:highlight w:val="none"/>
        </w:rPr>
        <w:br w:type="page"/>
      </w:r>
      <w:r>
        <w:rPr>
          <w:rFonts w:hint="eastAsia" w:ascii="仿宋_GB2312" w:hAnsi="仿宋_GB2312" w:eastAsia="仿宋_GB2312" w:cs="仿宋_GB2312"/>
          <w:b/>
          <w:bCs/>
          <w:color w:val="auto"/>
          <w:sz w:val="32"/>
          <w:szCs w:val="32"/>
          <w:highlight w:val="none"/>
          <w:lang w:eastAsia="zh-CN"/>
        </w:rPr>
        <w:t>七</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sz w:val="32"/>
          <w:szCs w:val="32"/>
          <w:highlight w:val="none"/>
        </w:rPr>
        <w:t>报价一览表及报价文件</w:t>
      </w:r>
    </w:p>
    <w:p>
      <w:pPr>
        <w:tabs>
          <w:tab w:val="left" w:pos="1680"/>
        </w:tabs>
        <w:adjustRightInd w:val="0"/>
        <w:snapToGrid w:val="0"/>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color w:val="auto"/>
          <w:sz w:val="30"/>
          <w:szCs w:val="30"/>
          <w:highlight w:val="none"/>
        </w:rPr>
        <w:t>附件7</w:t>
      </w:r>
    </w:p>
    <w:p>
      <w:pPr>
        <w:adjustRightInd w:val="0"/>
        <w:snapToGrid w:val="0"/>
        <w:jc w:val="center"/>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bCs/>
          <w:color w:val="auto"/>
          <w:sz w:val="30"/>
          <w:szCs w:val="30"/>
          <w:highlight w:val="none"/>
        </w:rPr>
        <w:t>报价一览表</w:t>
      </w:r>
    </w:p>
    <w:p>
      <w:pPr>
        <w:adjustRightInd w:val="0"/>
        <w:snapToGrid w:val="0"/>
        <w:rPr>
          <w:rFonts w:hint="eastAsia" w:ascii="仿宋_GB2312" w:hAnsi="仿宋_GB2312" w:eastAsia="仿宋_GB2312" w:cs="仿宋_GB2312"/>
          <w:color w:val="auto"/>
          <w:sz w:val="24"/>
          <w:highlight w:val="none"/>
        </w:rPr>
      </w:pPr>
    </w:p>
    <w:tbl>
      <w:tblPr>
        <w:tblStyle w:val="29"/>
        <w:tblW w:w="8820"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2652"/>
        <w:gridCol w:w="1842"/>
        <w:gridCol w:w="270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620" w:type="dxa"/>
            <w:vMerge w:val="restart"/>
            <w:tcBorders>
              <w:top w:val="double" w:color="auto" w:sz="4" w:space="0"/>
              <w:left w:val="double" w:color="auto" w:sz="4" w:space="0"/>
              <w:bottom w:val="single" w:color="auto" w:sz="6" w:space="0"/>
              <w:right w:val="single" w:color="auto" w:sz="6" w:space="0"/>
            </w:tcBorders>
            <w:vAlign w:val="center"/>
          </w:tcPr>
          <w:p>
            <w:pPr>
              <w:tabs>
                <w:tab w:val="left" w:pos="403"/>
                <w:tab w:val="center" w:pos="3781"/>
              </w:tabs>
              <w:spacing w:line="420" w:lineRule="exact"/>
              <w:ind w:right="-5206" w:rightChars="-2479" w:firstLine="240" w:firstLineChars="100"/>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项目名称</w:t>
            </w:r>
            <w:r>
              <w:rPr>
                <w:rFonts w:hint="eastAsia" w:ascii="仿宋_GB2312" w:hAnsi="仿宋_GB2312" w:eastAsia="仿宋_GB2312" w:cs="仿宋_GB2312"/>
                <w:color w:val="auto"/>
                <w:sz w:val="24"/>
                <w:szCs w:val="21"/>
                <w:highlight w:val="none"/>
              </w:rPr>
              <w:tab/>
            </w:r>
            <w:r>
              <w:rPr>
                <w:rFonts w:hint="eastAsia" w:ascii="仿宋_GB2312" w:hAnsi="仿宋_GB2312" w:eastAsia="仿宋_GB2312" w:cs="仿宋_GB2312"/>
                <w:color w:val="auto"/>
                <w:sz w:val="24"/>
                <w:szCs w:val="21"/>
                <w:highlight w:val="none"/>
              </w:rPr>
              <w:t>项目名称</w:t>
            </w:r>
          </w:p>
        </w:tc>
        <w:tc>
          <w:tcPr>
            <w:tcW w:w="2652" w:type="dxa"/>
            <w:vMerge w:val="restart"/>
            <w:tcBorders>
              <w:top w:val="double" w:color="auto" w:sz="4" w:space="0"/>
              <w:left w:val="single" w:color="auto" w:sz="6" w:space="0"/>
              <w:bottom w:val="single" w:color="auto" w:sz="6" w:space="0"/>
              <w:right w:val="single" w:color="auto" w:sz="6" w:space="0"/>
            </w:tcBorders>
            <w:vAlign w:val="center"/>
          </w:tcPr>
          <w:p>
            <w:pPr>
              <w:spacing w:line="420" w:lineRule="exact"/>
              <w:rPr>
                <w:rFonts w:hint="eastAsia" w:ascii="仿宋_GB2312" w:hAnsi="仿宋_GB2312" w:eastAsia="仿宋_GB2312" w:cs="仿宋_GB2312"/>
                <w:color w:val="auto"/>
                <w:sz w:val="24"/>
                <w:szCs w:val="21"/>
                <w:highlight w:val="none"/>
              </w:rPr>
            </w:pPr>
          </w:p>
        </w:tc>
        <w:tc>
          <w:tcPr>
            <w:tcW w:w="1842" w:type="dxa"/>
            <w:tcBorders>
              <w:top w:val="double" w:color="auto" w:sz="4" w:space="0"/>
              <w:left w:val="single" w:color="auto" w:sz="6" w:space="0"/>
              <w:bottom w:val="single" w:color="auto" w:sz="6"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政府采购编号</w:t>
            </w:r>
          </w:p>
        </w:tc>
        <w:tc>
          <w:tcPr>
            <w:tcW w:w="2706" w:type="dxa"/>
            <w:tcBorders>
              <w:top w:val="double" w:color="auto" w:sz="4" w:space="0"/>
              <w:left w:val="single" w:color="auto" w:sz="6" w:space="0"/>
              <w:bottom w:val="single" w:color="auto" w:sz="6" w:space="0"/>
              <w:right w:val="double" w:color="auto" w:sz="4" w:space="0"/>
            </w:tcBorders>
            <w:vAlign w:val="center"/>
          </w:tcPr>
          <w:p>
            <w:pPr>
              <w:spacing w:line="420" w:lineRule="exact"/>
              <w:jc w:val="center"/>
              <w:rPr>
                <w:rFonts w:hint="eastAsia" w:ascii="仿宋_GB2312" w:hAnsi="仿宋_GB2312" w:eastAsia="仿宋_GB2312" w:cs="仿宋_GB2312"/>
                <w:color w:val="auto"/>
                <w:sz w:val="24"/>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1620" w:type="dxa"/>
            <w:vMerge w:val="continue"/>
            <w:tcBorders>
              <w:top w:val="single" w:color="auto" w:sz="6" w:space="0"/>
              <w:left w:val="double" w:color="auto" w:sz="4" w:space="0"/>
              <w:bottom w:val="single" w:color="auto" w:sz="6" w:space="0"/>
              <w:right w:val="single" w:color="auto" w:sz="6" w:space="0"/>
            </w:tcBorders>
            <w:vAlign w:val="center"/>
          </w:tcPr>
          <w:p>
            <w:pPr>
              <w:tabs>
                <w:tab w:val="left" w:pos="403"/>
                <w:tab w:val="center" w:pos="3781"/>
              </w:tabs>
              <w:spacing w:line="420" w:lineRule="exact"/>
              <w:ind w:right="-5206" w:rightChars="-2479"/>
              <w:rPr>
                <w:rFonts w:hint="eastAsia" w:ascii="仿宋_GB2312" w:hAnsi="仿宋_GB2312" w:eastAsia="仿宋_GB2312" w:cs="仿宋_GB2312"/>
                <w:color w:val="auto"/>
                <w:sz w:val="24"/>
                <w:szCs w:val="21"/>
                <w:highlight w:val="none"/>
              </w:rPr>
            </w:pPr>
          </w:p>
        </w:tc>
        <w:tc>
          <w:tcPr>
            <w:tcW w:w="2652" w:type="dxa"/>
            <w:vMerge w:val="continue"/>
            <w:tcBorders>
              <w:top w:val="single" w:color="auto" w:sz="6" w:space="0"/>
              <w:left w:val="single" w:color="auto" w:sz="6" w:space="0"/>
              <w:bottom w:val="single" w:color="auto" w:sz="6"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p>
        </w:tc>
        <w:tc>
          <w:tcPr>
            <w:tcW w:w="1842" w:type="dxa"/>
            <w:tcBorders>
              <w:top w:val="single" w:color="auto" w:sz="6" w:space="0"/>
              <w:left w:val="single" w:color="auto" w:sz="6" w:space="0"/>
              <w:bottom w:val="single" w:color="auto" w:sz="6"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采购代理编号</w:t>
            </w:r>
          </w:p>
        </w:tc>
        <w:tc>
          <w:tcPr>
            <w:tcW w:w="2706" w:type="dxa"/>
            <w:tcBorders>
              <w:top w:val="single" w:color="auto" w:sz="6" w:space="0"/>
              <w:left w:val="single" w:color="auto" w:sz="6" w:space="0"/>
              <w:bottom w:val="single" w:color="auto" w:sz="6" w:space="0"/>
              <w:right w:val="double" w:color="auto" w:sz="4" w:space="0"/>
            </w:tcBorders>
            <w:vAlign w:val="center"/>
          </w:tcPr>
          <w:p>
            <w:pPr>
              <w:spacing w:line="420" w:lineRule="exact"/>
              <w:jc w:val="center"/>
              <w:rPr>
                <w:rFonts w:hint="eastAsia" w:ascii="仿宋_GB2312" w:hAnsi="仿宋_GB2312" w:eastAsia="仿宋_GB2312" w:cs="仿宋_GB2312"/>
                <w:color w:val="auto"/>
                <w:sz w:val="24"/>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1620" w:type="dxa"/>
            <w:tcBorders>
              <w:top w:val="single" w:color="auto" w:sz="6" w:space="0"/>
              <w:left w:val="double" w:color="auto" w:sz="4"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服务内容</w:t>
            </w:r>
          </w:p>
        </w:tc>
        <w:tc>
          <w:tcPr>
            <w:tcW w:w="7200" w:type="dxa"/>
            <w:gridSpan w:val="3"/>
            <w:tcBorders>
              <w:top w:val="single" w:color="auto" w:sz="6" w:space="0"/>
              <w:left w:val="single" w:color="auto" w:sz="6" w:space="0"/>
              <w:bottom w:val="single" w:color="auto" w:sz="6" w:space="0"/>
              <w:right w:val="double" w:color="auto" w:sz="4" w:space="0"/>
            </w:tcBorders>
            <w:vAlign w:val="center"/>
          </w:tcPr>
          <w:p>
            <w:pPr>
              <w:rPr>
                <w:rFonts w:hint="eastAsia" w:ascii="仿宋_GB2312" w:hAnsi="仿宋_GB2312" w:eastAsia="仿宋_GB2312" w:cs="仿宋_GB2312"/>
                <w:color w:val="auto"/>
                <w:sz w:val="24"/>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961" w:hRule="atLeast"/>
        </w:trPr>
        <w:tc>
          <w:tcPr>
            <w:tcW w:w="1620" w:type="dxa"/>
            <w:tcBorders>
              <w:top w:val="single" w:color="auto" w:sz="6" w:space="0"/>
              <w:left w:val="double" w:color="auto" w:sz="4"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报价</w:t>
            </w:r>
          </w:p>
        </w:tc>
        <w:tc>
          <w:tcPr>
            <w:tcW w:w="7200" w:type="dxa"/>
            <w:gridSpan w:val="3"/>
            <w:tcBorders>
              <w:top w:val="single" w:color="auto" w:sz="6" w:space="0"/>
              <w:left w:val="single" w:color="auto" w:sz="6" w:space="0"/>
              <w:bottom w:val="single" w:color="auto" w:sz="6" w:space="0"/>
              <w:right w:val="double" w:color="auto" w:sz="4" w:space="0"/>
            </w:tcBorders>
            <w:vAlign w:val="center"/>
          </w:tcPr>
          <w:p>
            <w:pP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大写：</w:t>
            </w:r>
            <w:r>
              <w:rPr>
                <w:rFonts w:hint="eastAsia" w:ascii="仿宋_GB2312" w:hAnsi="仿宋_GB2312" w:eastAsia="仿宋_GB2312" w:cs="仿宋_GB2312"/>
                <w:color w:val="auto"/>
                <w:sz w:val="24"/>
                <w:szCs w:val="21"/>
                <w:highlight w:val="none"/>
                <w:u w:val="single"/>
              </w:rPr>
              <w:t xml:space="preserve">                    </w:t>
            </w:r>
            <w:r>
              <w:rPr>
                <w:rFonts w:hint="eastAsia" w:ascii="仿宋_GB2312" w:hAnsi="仿宋_GB2312" w:eastAsia="仿宋_GB2312" w:cs="仿宋_GB2312"/>
                <w:color w:val="auto"/>
                <w:sz w:val="24"/>
                <w:szCs w:val="21"/>
                <w:highlight w:val="none"/>
              </w:rPr>
              <w:t>元人民币整</w:t>
            </w:r>
          </w:p>
          <w:p>
            <w:pPr>
              <w:spacing w:line="420" w:lineRule="exact"/>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小写：</w:t>
            </w:r>
            <w:r>
              <w:rPr>
                <w:rFonts w:hint="eastAsia" w:ascii="仿宋_GB2312" w:hAnsi="仿宋_GB2312" w:eastAsia="仿宋_GB2312" w:cs="仿宋_GB2312"/>
                <w:color w:val="auto"/>
                <w:sz w:val="24"/>
                <w:szCs w:val="21"/>
                <w:highlight w:val="none"/>
                <w:u w:val="single"/>
              </w:rPr>
              <w:t xml:space="preserve">                    </w:t>
            </w:r>
            <w:r>
              <w:rPr>
                <w:rFonts w:hint="eastAsia" w:ascii="仿宋_GB2312" w:hAnsi="仿宋_GB2312" w:eastAsia="仿宋_GB2312" w:cs="仿宋_GB2312"/>
                <w:color w:val="auto"/>
                <w:sz w:val="24"/>
                <w:szCs w:val="21"/>
                <w:highlight w:val="none"/>
              </w:rPr>
              <w:t>元人民币整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trPr>
        <w:tc>
          <w:tcPr>
            <w:tcW w:w="1620" w:type="dxa"/>
            <w:tcBorders>
              <w:top w:val="single" w:color="auto" w:sz="6" w:space="0"/>
              <w:left w:val="double" w:color="auto" w:sz="4" w:space="0"/>
              <w:bottom w:val="single" w:color="auto" w:sz="6"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项目负责人</w:t>
            </w:r>
          </w:p>
        </w:tc>
        <w:tc>
          <w:tcPr>
            <w:tcW w:w="7200" w:type="dxa"/>
            <w:gridSpan w:val="3"/>
            <w:tcBorders>
              <w:top w:val="single" w:color="auto" w:sz="6" w:space="0"/>
              <w:left w:val="single" w:color="auto" w:sz="6" w:space="0"/>
              <w:bottom w:val="single" w:color="auto" w:sz="6" w:space="0"/>
              <w:right w:val="double" w:color="auto" w:sz="4" w:space="0"/>
            </w:tcBorders>
            <w:vAlign w:val="center"/>
          </w:tcPr>
          <w:p>
            <w:pPr>
              <w:spacing w:line="420" w:lineRule="exact"/>
              <w:rPr>
                <w:rFonts w:hint="eastAsia" w:ascii="仿宋_GB2312" w:hAnsi="仿宋_GB2312" w:eastAsia="仿宋_GB2312" w:cs="仿宋_GB2312"/>
                <w:color w:val="auto"/>
                <w:sz w:val="24"/>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1620" w:type="dxa"/>
            <w:tcBorders>
              <w:top w:val="single" w:color="auto" w:sz="6" w:space="0"/>
              <w:left w:val="double" w:color="auto" w:sz="4" w:space="0"/>
              <w:bottom w:val="double" w:color="auto" w:sz="4" w:space="0"/>
              <w:right w:val="single" w:color="auto" w:sz="6" w:space="0"/>
            </w:tcBorders>
            <w:vAlign w:val="center"/>
          </w:tcPr>
          <w:p>
            <w:pPr>
              <w:spacing w:line="420" w:lineRule="exact"/>
              <w:jc w:val="center"/>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备  注</w:t>
            </w:r>
          </w:p>
        </w:tc>
        <w:tc>
          <w:tcPr>
            <w:tcW w:w="7200" w:type="dxa"/>
            <w:gridSpan w:val="3"/>
            <w:tcBorders>
              <w:top w:val="single" w:color="auto" w:sz="6" w:space="0"/>
              <w:left w:val="single" w:color="auto" w:sz="6" w:space="0"/>
              <w:bottom w:val="double" w:color="auto" w:sz="4" w:space="0"/>
              <w:right w:val="double" w:color="auto" w:sz="4" w:space="0"/>
            </w:tcBorders>
            <w:vAlign w:val="center"/>
          </w:tcPr>
          <w:p>
            <w:pPr>
              <w:spacing w:line="420" w:lineRule="exact"/>
              <w:rPr>
                <w:rFonts w:hint="eastAsia" w:ascii="仿宋_GB2312" w:hAnsi="仿宋_GB2312" w:eastAsia="仿宋_GB2312" w:cs="仿宋_GB2312"/>
                <w:color w:val="auto"/>
                <w:sz w:val="24"/>
                <w:szCs w:val="21"/>
                <w:highlight w:val="none"/>
              </w:rPr>
            </w:pPr>
          </w:p>
        </w:tc>
      </w:tr>
    </w:tbl>
    <w:p>
      <w:pPr>
        <w:adjustRightInd w:val="0"/>
        <w:snapToGrid w:val="0"/>
        <w:spacing w:line="360" w:lineRule="auto"/>
        <w:ind w:left="-88" w:leftChars="-42"/>
        <w:rPr>
          <w:rFonts w:hint="eastAsia" w:ascii="仿宋_GB2312" w:hAnsi="仿宋_GB2312" w:eastAsia="仿宋_GB2312" w:cs="仿宋_GB2312"/>
          <w:color w:val="auto"/>
          <w:sz w:val="24"/>
          <w:szCs w:val="21"/>
          <w:highlight w:val="none"/>
        </w:rPr>
      </w:pPr>
    </w:p>
    <w:p>
      <w:pPr>
        <w:adjustRightInd w:val="0"/>
        <w:snapToGrid w:val="0"/>
        <w:spacing w:line="360" w:lineRule="auto"/>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供应商（盖单位章）：</w:t>
      </w:r>
    </w:p>
    <w:p>
      <w:pPr>
        <w:adjustRightInd w:val="0"/>
        <w:snapToGrid w:val="0"/>
        <w:spacing w:line="360" w:lineRule="auto"/>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法定代表人或其委托代理人签字：</w:t>
      </w:r>
    </w:p>
    <w:p>
      <w:pPr>
        <w:adjustRightInd w:val="0"/>
        <w:snapToGrid w:val="0"/>
        <w:spacing w:line="360" w:lineRule="auto"/>
        <w:rPr>
          <w:rFonts w:hint="eastAsia" w:ascii="仿宋_GB2312" w:hAnsi="仿宋_GB2312" w:eastAsia="仿宋_GB2312" w:cs="仿宋_GB2312"/>
          <w:color w:val="auto"/>
          <w:sz w:val="24"/>
          <w:szCs w:val="21"/>
          <w:highlight w:val="none"/>
        </w:rPr>
      </w:pPr>
      <w:r>
        <w:rPr>
          <w:rFonts w:hint="eastAsia" w:ascii="仿宋_GB2312" w:hAnsi="仿宋_GB2312" w:eastAsia="仿宋_GB2312" w:cs="仿宋_GB2312"/>
          <w:color w:val="auto"/>
          <w:sz w:val="24"/>
          <w:szCs w:val="21"/>
          <w:highlight w:val="none"/>
        </w:rPr>
        <w:t>日期：</w:t>
      </w:r>
      <w:r>
        <w:rPr>
          <w:rFonts w:hint="eastAsia" w:ascii="仿宋_GB2312" w:hAnsi="仿宋_GB2312" w:eastAsia="仿宋_GB2312" w:cs="仿宋_GB2312"/>
          <w:color w:val="auto"/>
          <w:sz w:val="24"/>
          <w:szCs w:val="21"/>
          <w:highlight w:val="none"/>
          <w:u w:val="single"/>
        </w:rPr>
        <w:t xml:space="preserve">    </w:t>
      </w:r>
      <w:r>
        <w:rPr>
          <w:rFonts w:hint="eastAsia" w:ascii="仿宋_GB2312" w:hAnsi="仿宋_GB2312" w:eastAsia="仿宋_GB2312" w:cs="仿宋_GB2312"/>
          <w:color w:val="auto"/>
          <w:sz w:val="24"/>
          <w:szCs w:val="21"/>
          <w:highlight w:val="none"/>
        </w:rPr>
        <w:t>年</w:t>
      </w:r>
      <w:r>
        <w:rPr>
          <w:rFonts w:hint="eastAsia" w:ascii="仿宋_GB2312" w:hAnsi="仿宋_GB2312" w:eastAsia="仿宋_GB2312" w:cs="仿宋_GB2312"/>
          <w:color w:val="auto"/>
          <w:sz w:val="24"/>
          <w:szCs w:val="21"/>
          <w:highlight w:val="none"/>
          <w:u w:val="single"/>
        </w:rPr>
        <w:t xml:space="preserve">    </w:t>
      </w:r>
      <w:r>
        <w:rPr>
          <w:rFonts w:hint="eastAsia" w:ascii="仿宋_GB2312" w:hAnsi="仿宋_GB2312" w:eastAsia="仿宋_GB2312" w:cs="仿宋_GB2312"/>
          <w:color w:val="auto"/>
          <w:sz w:val="24"/>
          <w:szCs w:val="21"/>
          <w:highlight w:val="none"/>
        </w:rPr>
        <w:t>月</w:t>
      </w:r>
      <w:r>
        <w:rPr>
          <w:rFonts w:hint="eastAsia" w:ascii="仿宋_GB2312" w:hAnsi="仿宋_GB2312" w:eastAsia="仿宋_GB2312" w:cs="仿宋_GB2312"/>
          <w:color w:val="auto"/>
          <w:sz w:val="24"/>
          <w:szCs w:val="21"/>
          <w:highlight w:val="none"/>
          <w:u w:val="single"/>
        </w:rPr>
        <w:t xml:space="preserve">   </w:t>
      </w:r>
      <w:r>
        <w:rPr>
          <w:rFonts w:hint="eastAsia" w:ascii="仿宋_GB2312" w:hAnsi="仿宋_GB2312" w:eastAsia="仿宋_GB2312" w:cs="仿宋_GB2312"/>
          <w:color w:val="auto"/>
          <w:sz w:val="24"/>
          <w:szCs w:val="21"/>
          <w:highlight w:val="none"/>
        </w:rPr>
        <w:t>日</w:t>
      </w:r>
    </w:p>
    <w:p>
      <w:pPr>
        <w:adjustRightInd w:val="0"/>
        <w:snapToGrid w:val="0"/>
        <w:rPr>
          <w:rFonts w:hint="eastAsia" w:ascii="仿宋_GB2312" w:hAnsi="仿宋_GB2312" w:eastAsia="仿宋_GB2312" w:cs="仿宋_GB2312"/>
          <w:b/>
          <w:color w:val="auto"/>
          <w:sz w:val="24"/>
          <w:highlight w:val="none"/>
        </w:rPr>
        <w:sectPr>
          <w:headerReference r:id="rId8" w:type="default"/>
          <w:footerReference r:id="rId9" w:type="default"/>
          <w:pgSz w:w="11906" w:h="16838"/>
          <w:pgMar w:top="1474" w:right="1474" w:bottom="1702" w:left="1588" w:header="851" w:footer="992" w:gutter="0"/>
          <w:pgNumType w:start="1"/>
          <w:cols w:space="720" w:num="1"/>
          <w:docGrid w:type="lines" w:linePitch="312" w:charSpace="0"/>
        </w:sectPr>
      </w:pPr>
    </w:p>
    <w:p>
      <w:pPr>
        <w:adjustRightInd w:val="0"/>
        <w:snapToGrid w:val="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附件7-1</w:t>
      </w:r>
    </w:p>
    <w:p>
      <w:pPr>
        <w:adjustRightInd w:val="0"/>
        <w:snapToGrid w:val="0"/>
        <w:jc w:val="center"/>
        <w:rPr>
          <w:rFonts w:hint="eastAsia" w:ascii="仿宋_GB2312" w:hAnsi="仿宋_GB2312" w:eastAsia="仿宋_GB2312" w:cs="仿宋_GB2312"/>
          <w:strike w:val="0"/>
          <w:dstrike w:val="0"/>
          <w:color w:val="auto"/>
          <w:sz w:val="30"/>
          <w:szCs w:val="30"/>
          <w:highlight w:val="none"/>
        </w:rPr>
      </w:pPr>
      <w:r>
        <w:rPr>
          <w:rFonts w:hint="eastAsia" w:ascii="仿宋_GB2312" w:hAnsi="仿宋_GB2312" w:eastAsia="仿宋_GB2312" w:cs="仿宋_GB2312"/>
          <w:strike w:val="0"/>
          <w:dstrike w:val="0"/>
          <w:color w:val="auto"/>
          <w:sz w:val="30"/>
          <w:szCs w:val="30"/>
          <w:highlight w:val="none"/>
        </w:rPr>
        <w:t>分项价格表</w:t>
      </w:r>
    </w:p>
    <w:p>
      <w:pPr>
        <w:adjustRightInd w:val="0"/>
        <w:snapToGrid w:val="0"/>
        <w:rPr>
          <w:rFonts w:hint="eastAsia" w:ascii="仿宋_GB2312" w:hAnsi="仿宋_GB2312" w:eastAsia="仿宋_GB2312" w:cs="仿宋_GB2312"/>
          <w:b/>
          <w:strike w:val="0"/>
          <w:dstrike w:val="0"/>
          <w:color w:val="auto"/>
          <w:sz w:val="24"/>
          <w:highlight w:val="none"/>
        </w:rPr>
      </w:pPr>
    </w:p>
    <w:p>
      <w:pPr>
        <w:spacing w:after="156" w:afterLines="50" w:line="360" w:lineRule="exact"/>
        <w:rPr>
          <w:rFonts w:hint="eastAsia" w:ascii="仿宋_GB2312" w:hAnsi="仿宋_GB2312" w:eastAsia="仿宋_GB2312" w:cs="仿宋_GB2312"/>
          <w:b/>
          <w:strike w:val="0"/>
          <w:dstrike w:val="0"/>
          <w:color w:val="auto"/>
          <w:highlight w:val="none"/>
        </w:rPr>
      </w:pPr>
      <w:r>
        <w:rPr>
          <w:rFonts w:hint="eastAsia" w:ascii="仿宋_GB2312" w:hAnsi="仿宋_GB2312" w:eastAsia="仿宋_GB2312" w:cs="仿宋_GB2312"/>
          <w:b/>
          <w:strike w:val="0"/>
          <w:dstrike w:val="0"/>
          <w:color w:val="auto"/>
          <w:highlight w:val="none"/>
        </w:rPr>
        <w:t xml:space="preserve">项目名称： </w:t>
      </w:r>
      <w:r>
        <w:rPr>
          <w:rFonts w:hint="eastAsia" w:ascii="仿宋_GB2312" w:hAnsi="仿宋_GB2312" w:eastAsia="仿宋_GB2312" w:cs="仿宋_GB2312"/>
          <w:b/>
          <w:strike w:val="0"/>
          <w:dstrike w:val="0"/>
          <w:color w:val="auto"/>
          <w:highlight w:val="none"/>
          <w:u w:val="single"/>
        </w:rPr>
        <w:t xml:space="preserve">                       </w:t>
      </w:r>
      <w:r>
        <w:rPr>
          <w:rFonts w:hint="eastAsia" w:ascii="仿宋_GB2312" w:hAnsi="仿宋_GB2312" w:eastAsia="仿宋_GB2312" w:cs="仿宋_GB2312"/>
          <w:b/>
          <w:strike w:val="0"/>
          <w:dstrike w:val="0"/>
          <w:color w:val="auto"/>
          <w:highlight w:val="none"/>
        </w:rPr>
        <w:t xml:space="preserve">                                   金额单位：元</w:t>
      </w:r>
    </w:p>
    <w:tbl>
      <w:tblPr>
        <w:tblStyle w:val="29"/>
        <w:tblW w:w="72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785"/>
        <w:gridCol w:w="2007"/>
        <w:gridCol w:w="1383"/>
        <w:gridCol w:w="1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9" w:hRule="atLeast"/>
          <w:jc w:val="center"/>
        </w:trPr>
        <w:tc>
          <w:tcPr>
            <w:tcW w:w="774" w:type="dxa"/>
            <w:vAlign w:val="center"/>
          </w:tcPr>
          <w:p>
            <w:pPr>
              <w:adjustRightInd w:val="0"/>
              <w:snapToGrid w:val="0"/>
              <w:jc w:val="center"/>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序号</w:t>
            </w:r>
          </w:p>
        </w:tc>
        <w:tc>
          <w:tcPr>
            <w:tcW w:w="1785" w:type="dxa"/>
            <w:vAlign w:val="center"/>
          </w:tcPr>
          <w:p>
            <w:pPr>
              <w:adjustRightInd w:val="0"/>
              <w:snapToGrid w:val="0"/>
              <w:jc w:val="center"/>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服务名称</w:t>
            </w:r>
          </w:p>
        </w:tc>
        <w:tc>
          <w:tcPr>
            <w:tcW w:w="2007" w:type="dxa"/>
            <w:vAlign w:val="center"/>
          </w:tcPr>
          <w:p>
            <w:pPr>
              <w:adjustRightInd w:val="0"/>
              <w:snapToGrid w:val="0"/>
              <w:jc w:val="center"/>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具体说明</w:t>
            </w:r>
          </w:p>
        </w:tc>
        <w:tc>
          <w:tcPr>
            <w:tcW w:w="1383" w:type="dxa"/>
            <w:vAlign w:val="center"/>
          </w:tcPr>
          <w:p>
            <w:pPr>
              <w:adjustRightInd w:val="0"/>
              <w:snapToGrid w:val="0"/>
              <w:jc w:val="center"/>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金额</w:t>
            </w:r>
          </w:p>
        </w:tc>
        <w:tc>
          <w:tcPr>
            <w:tcW w:w="1318" w:type="dxa"/>
            <w:vAlign w:val="center"/>
          </w:tcPr>
          <w:p>
            <w:pPr>
              <w:adjustRightInd w:val="0"/>
              <w:snapToGrid w:val="0"/>
              <w:jc w:val="center"/>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74"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785"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2007"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83"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18"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jc w:val="center"/>
        </w:trPr>
        <w:tc>
          <w:tcPr>
            <w:tcW w:w="774"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785"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2007"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83"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18"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jc w:val="center"/>
        </w:trPr>
        <w:tc>
          <w:tcPr>
            <w:tcW w:w="774"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785"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2007"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83"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18"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jc w:val="center"/>
        </w:trPr>
        <w:tc>
          <w:tcPr>
            <w:tcW w:w="774"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785"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合计</w:t>
            </w:r>
          </w:p>
        </w:tc>
        <w:tc>
          <w:tcPr>
            <w:tcW w:w="2007"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83" w:type="dxa"/>
            <w:vAlign w:val="top"/>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c>
          <w:tcPr>
            <w:tcW w:w="1318" w:type="dxa"/>
            <w:vAlign w:val="center"/>
          </w:tcPr>
          <w:p>
            <w:pPr>
              <w:adjustRightInd w:val="0"/>
              <w:snapToGrid w:val="0"/>
              <w:spacing w:line="360" w:lineRule="auto"/>
              <w:jc w:val="center"/>
              <w:rPr>
                <w:rFonts w:hint="eastAsia" w:ascii="仿宋_GB2312" w:hAnsi="仿宋_GB2312" w:eastAsia="仿宋_GB2312" w:cs="仿宋_GB2312"/>
                <w:strike w:val="0"/>
                <w:dstrike w:val="0"/>
                <w:color w:val="auto"/>
                <w:szCs w:val="21"/>
                <w:highlight w:val="none"/>
              </w:rPr>
            </w:pPr>
          </w:p>
        </w:tc>
      </w:tr>
    </w:tbl>
    <w:p>
      <w:pPr>
        <w:adjustRightInd w:val="0"/>
        <w:snapToGrid w:val="0"/>
        <w:spacing w:before="156" w:beforeLines="50" w:line="360" w:lineRule="auto"/>
        <w:rPr>
          <w:rFonts w:hint="eastAsia" w:ascii="仿宋_GB2312" w:hAnsi="仿宋_GB2312" w:eastAsia="仿宋_GB2312" w:cs="仿宋_GB2312"/>
          <w:strike w:val="0"/>
          <w:dstrike w:val="0"/>
          <w:color w:val="auto"/>
          <w:szCs w:val="21"/>
          <w:highlight w:val="none"/>
          <w:u w:val="single"/>
        </w:rPr>
      </w:pPr>
      <w:r>
        <w:rPr>
          <w:rFonts w:hint="eastAsia" w:ascii="仿宋_GB2312" w:hAnsi="仿宋_GB2312" w:eastAsia="仿宋_GB2312" w:cs="仿宋_GB2312"/>
          <w:strike w:val="0"/>
          <w:dstrike w:val="0"/>
          <w:color w:val="auto"/>
          <w:szCs w:val="21"/>
          <w:highlight w:val="none"/>
        </w:rPr>
        <w:t>报价金额合计：小写：</w:t>
      </w:r>
      <w:bookmarkStart w:id="11" w:name="_Hlk513138877"/>
      <w:r>
        <w:rPr>
          <w:rFonts w:hint="eastAsia" w:ascii="仿宋_GB2312" w:hAnsi="仿宋_GB2312" w:eastAsia="仿宋_GB2312" w:cs="仿宋_GB2312"/>
          <w:strike w:val="0"/>
          <w:dstrike w:val="0"/>
          <w:color w:val="auto"/>
          <w:szCs w:val="21"/>
          <w:highlight w:val="none"/>
          <w:u w:val="single"/>
        </w:rPr>
        <w:t xml:space="preserve">                      </w:t>
      </w:r>
      <w:bookmarkEnd w:id="11"/>
      <w:r>
        <w:rPr>
          <w:rFonts w:hint="eastAsia" w:ascii="仿宋_GB2312" w:hAnsi="仿宋_GB2312" w:eastAsia="仿宋_GB2312" w:cs="仿宋_GB2312"/>
          <w:strike w:val="0"/>
          <w:dstrike w:val="0"/>
          <w:color w:val="auto"/>
          <w:szCs w:val="21"/>
          <w:highlight w:val="none"/>
        </w:rPr>
        <w:t>大写：</w:t>
      </w:r>
      <w:r>
        <w:rPr>
          <w:rFonts w:hint="eastAsia" w:ascii="仿宋_GB2312" w:hAnsi="仿宋_GB2312" w:eastAsia="仿宋_GB2312" w:cs="仿宋_GB2312"/>
          <w:strike w:val="0"/>
          <w:dstrike w:val="0"/>
          <w:color w:val="auto"/>
          <w:szCs w:val="21"/>
          <w:highlight w:val="none"/>
          <w:u w:val="single"/>
        </w:rPr>
        <w:t xml:space="preserve">                      ·</w:t>
      </w:r>
    </w:p>
    <w:p>
      <w:pPr>
        <w:adjustRightInd w:val="0"/>
        <w:snapToGrid w:val="0"/>
        <w:rPr>
          <w:rFonts w:hint="eastAsia" w:ascii="仿宋_GB2312" w:hAnsi="仿宋_GB2312" w:eastAsia="仿宋_GB2312" w:cs="仿宋_GB2312"/>
          <w:b/>
          <w:strike w:val="0"/>
          <w:dstrike w:val="0"/>
          <w:color w:val="auto"/>
          <w:sz w:val="24"/>
          <w:highlight w:val="none"/>
        </w:rPr>
      </w:pPr>
    </w:p>
    <w:p>
      <w:pPr>
        <w:adjustRightInd w:val="0"/>
        <w:snapToGrid w:val="0"/>
        <w:spacing w:line="360" w:lineRule="auto"/>
        <w:rPr>
          <w:rFonts w:hint="eastAsia" w:ascii="仿宋_GB2312" w:hAnsi="仿宋_GB2312" w:eastAsia="仿宋_GB2312" w:cs="仿宋_GB2312"/>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说明：</w:t>
      </w:r>
    </w:p>
    <w:p>
      <w:pPr>
        <w:adjustRightInd w:val="0"/>
        <w:snapToGrid w:val="0"/>
        <w:spacing w:line="440" w:lineRule="exact"/>
        <w:rPr>
          <w:rFonts w:hint="eastAsia" w:ascii="仿宋_GB2312" w:hAnsi="仿宋_GB2312" w:eastAsia="仿宋_GB2312" w:cs="仿宋_GB2312"/>
          <w:b/>
          <w:strike w:val="0"/>
          <w:dstrike w:val="0"/>
          <w:color w:val="auto"/>
          <w:szCs w:val="21"/>
          <w:highlight w:val="none"/>
        </w:rPr>
      </w:pPr>
      <w:r>
        <w:rPr>
          <w:rFonts w:hint="eastAsia" w:ascii="仿宋_GB2312" w:hAnsi="仿宋_GB2312" w:eastAsia="仿宋_GB2312" w:cs="仿宋_GB2312"/>
          <w:strike w:val="0"/>
          <w:dstrike w:val="0"/>
          <w:color w:val="auto"/>
          <w:szCs w:val="21"/>
          <w:highlight w:val="none"/>
        </w:rPr>
        <w:t>1、本表包含招标文件第</w:t>
      </w:r>
      <w:r>
        <w:rPr>
          <w:rFonts w:hint="eastAsia" w:ascii="仿宋_GB2312" w:hAnsi="仿宋_GB2312" w:eastAsia="仿宋_GB2312" w:cs="仿宋_GB2312"/>
          <w:strike w:val="0"/>
          <w:dstrike w:val="0"/>
          <w:color w:val="auto"/>
          <w:szCs w:val="21"/>
          <w:highlight w:val="none"/>
          <w:lang w:eastAsia="zh-CN"/>
        </w:rPr>
        <w:t>三</w:t>
      </w:r>
      <w:r>
        <w:rPr>
          <w:rFonts w:hint="eastAsia" w:ascii="仿宋_GB2312" w:hAnsi="仿宋_GB2312" w:eastAsia="仿宋_GB2312" w:cs="仿宋_GB2312"/>
          <w:strike w:val="0"/>
          <w:dstrike w:val="0"/>
          <w:color w:val="auto"/>
          <w:szCs w:val="21"/>
          <w:highlight w:val="none"/>
        </w:rPr>
        <w:t>章“采购需求”或其他部分对该项目所有要求的详细报价。“合计”及“报价金额合计”应与“附件10</w:t>
      </w:r>
      <w:r>
        <w:rPr>
          <w:rFonts w:hint="eastAsia" w:ascii="仿宋_GB2312" w:hAnsi="仿宋_GB2312" w:eastAsia="仿宋_GB2312" w:cs="仿宋_GB2312"/>
          <w:strike w:val="0"/>
          <w:dstrike w:val="0"/>
          <w:color w:val="auto"/>
          <w:szCs w:val="21"/>
          <w:highlight w:val="none"/>
          <w:lang w:val="en-US" w:eastAsia="zh-CN"/>
        </w:rPr>
        <w:t xml:space="preserve">  </w:t>
      </w:r>
      <w:r>
        <w:rPr>
          <w:rFonts w:hint="eastAsia" w:ascii="仿宋_GB2312" w:hAnsi="仿宋_GB2312" w:eastAsia="仿宋_GB2312" w:cs="仿宋_GB2312"/>
          <w:strike w:val="0"/>
          <w:dstrike w:val="0"/>
          <w:color w:val="auto"/>
          <w:szCs w:val="21"/>
          <w:highlight w:val="none"/>
        </w:rPr>
        <w:t>开标一览表“ 中“报价”一致；栏目“金额”，应包含所有隐含的管理费、税金和利润等其他费用。</w:t>
      </w:r>
    </w:p>
    <w:p>
      <w:pPr>
        <w:adjustRightInd w:val="0"/>
        <w:snapToGrid w:val="0"/>
        <w:spacing w:line="360" w:lineRule="auto"/>
        <w:ind w:left="-88" w:leftChars="-42"/>
        <w:rPr>
          <w:rFonts w:hint="eastAsia" w:ascii="仿宋_GB2312" w:hAnsi="仿宋_GB2312" w:eastAsia="仿宋_GB2312" w:cs="仿宋_GB2312"/>
          <w:color w:val="auto"/>
          <w:szCs w:val="21"/>
          <w:highlight w:val="none"/>
        </w:rPr>
      </w:pPr>
      <w:r>
        <w:rPr>
          <w:rFonts w:hint="eastAsia" w:ascii="仿宋_GB2312" w:hAnsi="仿宋_GB2312" w:eastAsia="仿宋_GB2312" w:cs="仿宋_GB2312"/>
          <w:strike w:val="0"/>
          <w:dstrike w:val="0"/>
          <w:color w:val="auto"/>
          <w:szCs w:val="21"/>
          <w:highlight w:val="none"/>
        </w:rPr>
        <w:t>2、“服务名称”是指服务的内容。</w:t>
      </w:r>
      <w:r>
        <w:rPr>
          <w:rFonts w:hint="eastAsia" w:ascii="仿宋_GB2312" w:hAnsi="仿宋_GB2312" w:eastAsia="仿宋_GB2312" w:cs="仿宋_GB2312"/>
          <w:color w:val="auto"/>
          <w:szCs w:val="21"/>
          <w:highlight w:val="none"/>
        </w:rPr>
        <w:br w:type="page"/>
      </w:r>
    </w:p>
    <w:p>
      <w:pPr>
        <w:adjustRightInd w:val="0"/>
        <w:snapToGrid w:val="0"/>
        <w:spacing w:line="360" w:lineRule="auto"/>
        <w:ind w:left="-88" w:leftChars="-42"/>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lang w:eastAsia="zh-CN"/>
        </w:rPr>
        <w:t>八</w:t>
      </w:r>
      <w:r>
        <w:rPr>
          <w:rFonts w:hint="eastAsia" w:ascii="仿宋_GB2312" w:hAnsi="仿宋_GB2312" w:eastAsia="仿宋_GB2312" w:cs="仿宋_GB2312"/>
          <w:b/>
          <w:bCs/>
          <w:color w:val="auto"/>
          <w:sz w:val="32"/>
          <w:szCs w:val="32"/>
          <w:highlight w:val="none"/>
        </w:rPr>
        <w:t>、供应商认为需要提供的其它资料</w:t>
      </w:r>
    </w:p>
    <w:p>
      <w:pPr>
        <w:adjustRightInd w:val="0"/>
        <w:snapToGrid w:val="0"/>
        <w:spacing w:beforeLines="50" w:line="360" w:lineRule="auto"/>
        <w:jc w:val="center"/>
        <w:outlineLvl w:val="0"/>
        <w:rPr>
          <w:rFonts w:hint="eastAsia" w:ascii="仿宋_GB2312" w:hAnsi="仿宋_GB2312" w:eastAsia="仿宋_GB2312" w:cs="仿宋_GB2312"/>
          <w:b/>
          <w:color w:val="auto"/>
          <w:sz w:val="32"/>
          <w:szCs w:val="32"/>
          <w:highlight w:val="none"/>
        </w:rPr>
      </w:pPr>
    </w:p>
    <w:p>
      <w:pPr>
        <w:adjustRightInd w:val="0"/>
        <w:snapToGrid w:val="0"/>
        <w:spacing w:beforeLines="50" w:line="360" w:lineRule="auto"/>
        <w:jc w:val="center"/>
        <w:outlineLvl w:val="0"/>
        <w:rPr>
          <w:rFonts w:hint="eastAsia" w:ascii="仿宋_GB2312" w:hAnsi="仿宋_GB2312" w:eastAsia="仿宋_GB2312" w:cs="仿宋_GB2312"/>
          <w:b/>
          <w:color w:val="auto"/>
          <w:sz w:val="32"/>
          <w:szCs w:val="32"/>
          <w:highlight w:val="none"/>
        </w:rPr>
      </w:pPr>
    </w:p>
    <w:p>
      <w:pPr>
        <w:adjustRightInd w:val="0"/>
        <w:snapToGrid w:val="0"/>
        <w:spacing w:beforeLines="50" w:line="360" w:lineRule="auto"/>
        <w:jc w:val="center"/>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lang w:eastAsia="zh-CN"/>
        </w:rPr>
        <w:t>九</w:t>
      </w:r>
      <w:r>
        <w:rPr>
          <w:rFonts w:hint="eastAsia" w:ascii="仿宋_GB2312" w:hAnsi="仿宋_GB2312" w:eastAsia="仿宋_GB2312" w:cs="仿宋_GB2312"/>
          <w:b/>
          <w:color w:val="auto"/>
          <w:sz w:val="32"/>
          <w:szCs w:val="32"/>
          <w:highlight w:val="none"/>
        </w:rPr>
        <w:t>、最后报价</w:t>
      </w:r>
    </w:p>
    <w:p>
      <w:pPr>
        <w:adjustRightInd w:val="0"/>
        <w:snapToGrid w:val="0"/>
        <w:spacing w:line="360" w:lineRule="auto"/>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说明：</w:t>
      </w:r>
    </w:p>
    <w:p>
      <w:pPr>
        <w:adjustRightInd w:val="0"/>
        <w:snapToGrid w:val="0"/>
        <w:spacing w:line="360" w:lineRule="auto"/>
        <w:ind w:firstLine="420" w:firstLineChars="20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1、最后报价按第二章磋商须知第21.响应文件的签署及规定 中的21.3条规定提供，格式按附件7、附件7-1提供，一式两份，最后报价环节时单独递交，不装订在响应文件中。</w:t>
      </w:r>
    </w:p>
    <w:p>
      <w:pPr>
        <w:adjustRightInd w:val="0"/>
        <w:snapToGrid w:val="0"/>
        <w:spacing w:line="360" w:lineRule="auto"/>
        <w:ind w:left="-88" w:leftChars="-42" w:firstLine="525" w:firstLineChars="250"/>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2、最后报价需填列报价一览表和分项价格表。</w:t>
      </w:r>
    </w:p>
    <w:sectPr>
      <w:headerReference r:id="rId10" w:type="default"/>
      <w:footerReference r:id="rId11"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jc w:val="center"/>
      <w:rPr>
        <w:rFonts w:ascii="仿宋_GB2312" w:eastAsia="仿宋_GB2312"/>
      </w:rPr>
    </w:pPr>
    <w:r>
      <w:rPr>
        <w:rFonts w:hint="eastAsia" w:ascii="仿宋_GB2312" w:eastAsia="仿宋_GB2312"/>
      </w:rPr>
      <w:t>湖南天福项目管理有限公司</w:t>
    </w:r>
    <w:r>
      <w:rPr>
        <w:rFonts w:ascii="仿宋_GB2312" w:eastAsia="仿宋_GB2312"/>
      </w:rPr>
      <w:t xml:space="preserve">                                                    </w:t>
    </w:r>
    <w:r>
      <w:rPr>
        <w:rFonts w:hint="eastAsia" w:ascii="仿宋_GB2312" w:eastAsia="仿宋_GB2312"/>
      </w:rPr>
      <w:t>电</w:t>
    </w:r>
    <w:r>
      <w:rPr>
        <w:rFonts w:ascii="仿宋_GB2312" w:eastAsia="仿宋_GB2312"/>
      </w:rPr>
      <w:t xml:space="preserve"> </w:t>
    </w:r>
    <w:r>
      <w:rPr>
        <w:rFonts w:hint="eastAsia" w:ascii="仿宋_GB2312" w:eastAsia="仿宋_GB2312"/>
      </w:rPr>
      <w:t>话：</w:t>
    </w:r>
    <w:r>
      <w:rPr>
        <w:rFonts w:ascii="仿宋_GB2312" w:eastAsia="仿宋_GB2312"/>
      </w:rPr>
      <w:t>0731-82159999</w:t>
    </w:r>
  </w:p>
  <w:p>
    <w:pPr>
      <w:pStyle w:val="12"/>
      <w:pBdr>
        <w:top w:val="single" w:color="auto" w:sz="4" w:space="0"/>
      </w:pBdr>
      <w:jc w:val="center"/>
      <w:rPr>
        <w:rFonts w:ascii="仿宋_GB2312" w:eastAsia="仿宋_GB2312"/>
      </w:rPr>
    </w:pPr>
    <w:r>
      <w:rPr>
        <w:rFonts w:hint="eastAsia" w:ascii="仿宋_GB2312" w:eastAsia="仿宋_GB2312"/>
      </w:rPr>
      <w:t>岳麓区金星北路市政府旁恒晟湘江中心</w:t>
    </w:r>
    <w:r>
      <w:rPr>
        <w:rFonts w:ascii="仿宋_GB2312" w:eastAsia="仿宋_GB2312"/>
      </w:rPr>
      <w:t>A</w:t>
    </w:r>
    <w:r>
      <w:rPr>
        <w:rFonts w:hint="eastAsia" w:ascii="仿宋_GB2312" w:eastAsia="仿宋_GB2312"/>
      </w:rPr>
      <w:t>座</w:t>
    </w:r>
    <w:r>
      <w:rPr>
        <w:rFonts w:ascii="仿宋_GB2312" w:eastAsia="仿宋_GB2312"/>
      </w:rPr>
      <w:t>6</w:t>
    </w:r>
    <w:r>
      <w:rPr>
        <w:rFonts w:hint="eastAsia" w:ascii="仿宋_GB2312" w:eastAsia="仿宋_GB2312"/>
      </w:rPr>
      <w:t>楼</w:t>
    </w:r>
    <w:r>
      <w:rPr>
        <w:rFonts w:ascii="仿宋_GB2312" w:eastAsia="仿宋_GB2312"/>
      </w:rPr>
      <w:t xml:space="preserve">                                  </w:t>
    </w:r>
    <w:r>
      <w:rPr>
        <w:rFonts w:hint="eastAsia" w:ascii="仿宋_GB2312" w:eastAsia="仿宋_GB2312"/>
      </w:rPr>
      <w:t>传</w:t>
    </w:r>
    <w:r>
      <w:rPr>
        <w:rFonts w:ascii="仿宋_GB2312" w:eastAsia="仿宋_GB2312"/>
      </w:rPr>
      <w:t xml:space="preserve"> </w:t>
    </w:r>
    <w:r>
      <w:rPr>
        <w:rFonts w:hint="eastAsia" w:ascii="仿宋_GB2312" w:eastAsia="仿宋_GB2312"/>
      </w:rPr>
      <w:t>真：</w:t>
    </w:r>
    <w:r>
      <w:rPr>
        <w:rFonts w:ascii="仿宋_GB2312" w:eastAsia="仿宋_GB2312"/>
      </w:rPr>
      <w:t>0731-82159999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rPr>
        <w:rFonts w:ascii="仿宋_GB2312" w:eastAsia="仿宋_GB2312"/>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2"/>
                          </w:pPr>
                          <w:r>
                            <w:rPr>
                              <w:rFonts w:hint="eastAsia"/>
                            </w:rPr>
                            <w:t>第</w:t>
                          </w:r>
                          <w:r>
                            <w:t xml:space="preserve"> </w:t>
                          </w:r>
                          <w:r>
                            <w:fldChar w:fldCharType="begin"/>
                          </w:r>
                          <w:r>
                            <w:instrText xml:space="preserve"> PAGE  \* MERGEFORMAT </w:instrText>
                          </w:r>
                          <w:r>
                            <w:fldChar w:fldCharType="separate"/>
                          </w:r>
                          <w:r>
                            <w:t>13</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6pebnP&#10;AAAABQEAAA8AAAAAAAAAAQAgAAAAIgAAAGRycy9kb3ducmV2LnhtbFBLAQIUABQAAAAIAIdO4kCP&#10;lwORtwEAAFUDAAAOAAAAAAAAAAEAIAAAAB4BAABkcnMvZTJvRG9jLnhtbFBLBQYAAAAABgAGAFkB&#10;AABHBQAAAAA=&#10;">
              <v:fill on="f" focussize="0,0"/>
              <v:stroke on="f"/>
              <v:imagedata o:title=""/>
              <o:lock v:ext="edit" aspectratio="f"/>
              <v:textbox inset="0mm,0mm,0mm,0mm" style="mso-fit-shape-to-text:t;">
                <w:txbxContent>
                  <w:p>
                    <w:pPr>
                      <w:pStyle w:val="12"/>
                    </w:pPr>
                    <w:r>
                      <w:rPr>
                        <w:rFonts w:hint="eastAsia"/>
                      </w:rPr>
                      <w:t>第</w:t>
                    </w:r>
                    <w:r>
                      <w:t xml:space="preserve"> </w:t>
                    </w:r>
                    <w:r>
                      <w:fldChar w:fldCharType="begin"/>
                    </w:r>
                    <w:r>
                      <w:instrText xml:space="preserve"> PAGE  \* MERGEFORMAT </w:instrText>
                    </w:r>
                    <w:r>
                      <w:fldChar w:fldCharType="separate"/>
                    </w:r>
                    <w:r>
                      <w:t>13</w:t>
                    </w:r>
                    <w:r>
                      <w:fldChar w:fldCharType="end"/>
                    </w:r>
                    <w:r>
                      <w:t xml:space="preserve"> </w:t>
                    </w:r>
                    <w:r>
                      <w:rPr>
                        <w:rFonts w:hint="eastAsia"/>
                      </w:rPr>
                      <w:t>页</w:t>
                    </w:r>
                  </w:p>
                </w:txbxContent>
              </v:textbox>
            </v:shape>
          </w:pict>
        </mc:Fallback>
      </mc:AlternateContent>
    </w:r>
    <w:r>
      <w:rPr>
        <w:rFonts w:hint="eastAsia" w:ascii="仿宋_GB2312" w:eastAsia="仿宋_GB2312"/>
      </w:rPr>
      <w:t>湖南天福项目管理有限公司</w:t>
    </w:r>
    <w:r>
      <w:rPr>
        <w:rFonts w:ascii="仿宋_GB2312" w:eastAsia="仿宋_GB2312"/>
      </w:rPr>
      <w:t xml:space="preserve">                                                         </w:t>
    </w:r>
    <w:r>
      <w:rPr>
        <w:rFonts w:hint="eastAsia" w:ascii="仿宋_GB2312" w:eastAsia="仿宋_GB2312"/>
      </w:rPr>
      <w:t>电话：</w:t>
    </w:r>
    <w:r>
      <w:rPr>
        <w:rFonts w:ascii="仿宋_GB2312" w:eastAsia="仿宋_GB2312"/>
      </w:rPr>
      <w:t>0731-82159999</w:t>
    </w:r>
  </w:p>
  <w:p>
    <w:pPr>
      <w:pStyle w:val="12"/>
      <w:ind w:right="24"/>
    </w:pPr>
    <w:r>
      <w:rPr>
        <w:rFonts w:hint="eastAsia" w:ascii="仿宋_GB2312" w:eastAsia="仿宋_GB2312"/>
      </w:rPr>
      <w:t>岳麓区市政府二办旁恒晟湘江中心</w:t>
    </w:r>
    <w:r>
      <w:rPr>
        <w:rFonts w:ascii="仿宋_GB2312" w:eastAsia="仿宋_GB2312"/>
      </w:rPr>
      <w:t>A</w:t>
    </w:r>
    <w:r>
      <w:rPr>
        <w:rFonts w:hint="eastAsia" w:ascii="仿宋_GB2312" w:eastAsia="仿宋_GB2312"/>
      </w:rPr>
      <w:t>栋</w:t>
    </w:r>
    <w:r>
      <w:rPr>
        <w:rFonts w:ascii="仿宋_GB2312" w:eastAsia="仿宋_GB2312"/>
      </w:rPr>
      <w:t>6</w:t>
    </w:r>
    <w:r>
      <w:rPr>
        <w:rFonts w:hint="eastAsia" w:ascii="仿宋_GB2312" w:eastAsia="仿宋_GB2312"/>
      </w:rPr>
      <w:t>楼</w:t>
    </w:r>
    <w:r>
      <w:rPr>
        <w:rFonts w:ascii="仿宋_GB2312" w:eastAsia="仿宋_GB2312"/>
      </w:rPr>
      <w:t xml:space="preserve">                                           </w:t>
    </w:r>
    <w:r>
      <w:rPr>
        <w:rFonts w:hint="eastAsia" w:ascii="仿宋_GB2312" w:eastAsia="仿宋_GB2312"/>
      </w:rPr>
      <w:t>传真：</w:t>
    </w:r>
    <w:r>
      <w:rPr>
        <w:rFonts w:ascii="仿宋_GB2312" w:eastAsia="仿宋_GB2312"/>
      </w:rPr>
      <w:t>0731-82159999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2"/>
                          </w:pPr>
                          <w:r>
                            <w:rPr>
                              <w:rFonts w:hint="eastAsia"/>
                            </w:rPr>
                            <w:t>第</w:t>
                          </w:r>
                          <w:r>
                            <w:t xml:space="preserve"> </w:t>
                          </w:r>
                          <w:r>
                            <w:fldChar w:fldCharType="begin"/>
                          </w:r>
                          <w:r>
                            <w:instrText xml:space="preserve"> PAGE  \* MERGEFORMAT </w:instrText>
                          </w:r>
                          <w:r>
                            <w:fldChar w:fldCharType="separate"/>
                          </w:r>
                          <w:r>
                            <w:t>17</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6pebnP&#10;AAAABQEAAA8AAAAAAAAAAQAgAAAAIgAAAGRycy9kb3ducmV2LnhtbFBLAQIUABQAAAAIAIdO4kAS&#10;u9zttwEAAFUDAAAOAAAAAAAAAAEAIAAAAB4BAABkcnMvZTJvRG9jLnhtbFBLBQYAAAAABgAGAFkB&#10;AABHBQAAAAA=&#10;">
              <v:fill on="f" focussize="0,0"/>
              <v:stroke on="f"/>
              <v:imagedata o:title=""/>
              <o:lock v:ext="edit" aspectratio="f"/>
              <v:textbox inset="0mm,0mm,0mm,0mm" style="mso-fit-shape-to-text:t;">
                <w:txbxContent>
                  <w:p>
                    <w:pPr>
                      <w:pStyle w:val="12"/>
                    </w:pPr>
                    <w:r>
                      <w:rPr>
                        <w:rFonts w:hint="eastAsia"/>
                      </w:rPr>
                      <w:t>第</w:t>
                    </w:r>
                    <w:r>
                      <w:t xml:space="preserve"> </w:t>
                    </w:r>
                    <w:r>
                      <w:fldChar w:fldCharType="begin"/>
                    </w:r>
                    <w:r>
                      <w:instrText xml:space="preserve"> PAGE  \* MERGEFORMAT </w:instrText>
                    </w:r>
                    <w:r>
                      <w:fldChar w:fldCharType="separate"/>
                    </w:r>
                    <w:r>
                      <w:t>17</w:t>
                    </w:r>
                    <w:r>
                      <w:fldChar w:fldCharType="end"/>
                    </w:r>
                    <w:r>
                      <w:t xml:space="preserve"> </w:t>
                    </w:r>
                    <w:r>
                      <w:rPr>
                        <w:rFonts w:hint="eastAsia"/>
                      </w:rPr>
                      <w:t>页</w:t>
                    </w:r>
                  </w:p>
                </w:txbxContent>
              </v:textbox>
            </v:shape>
          </w:pict>
        </mc:Fallback>
      </mc:AlternateContent>
    </w:r>
    <w:r>
      <w:rPr>
        <w:rFonts w:hint="eastAsia" w:ascii="仿宋_GB2312" w:eastAsia="仿宋_GB2312"/>
      </w:rPr>
      <w:t>湖南天福项目管理有限公司</w:t>
    </w:r>
    <w:r>
      <w:rPr>
        <w:rFonts w:ascii="仿宋_GB2312" w:eastAsia="仿宋_GB2312"/>
      </w:rPr>
      <w:t xml:space="preserve">                                                        </w:t>
    </w:r>
    <w:r>
      <w:rPr>
        <w:rFonts w:hint="eastAsia" w:ascii="仿宋_GB2312" w:eastAsia="仿宋_GB2312"/>
      </w:rPr>
      <w:t>电话：</w:t>
    </w:r>
    <w:r>
      <w:rPr>
        <w:rFonts w:ascii="仿宋_GB2312" w:eastAsia="仿宋_GB2312"/>
      </w:rPr>
      <w:t>0731-82159999</w:t>
    </w:r>
  </w:p>
  <w:p>
    <w:pPr>
      <w:pStyle w:val="12"/>
      <w:ind w:right="24"/>
    </w:pPr>
    <w:r>
      <w:rPr>
        <w:rFonts w:hint="eastAsia" w:ascii="仿宋_GB2312" w:eastAsia="仿宋_GB2312"/>
      </w:rPr>
      <w:t>岳麓区市政府二办旁恒晟湘江中心</w:t>
    </w:r>
    <w:r>
      <w:rPr>
        <w:rFonts w:ascii="仿宋_GB2312" w:eastAsia="仿宋_GB2312"/>
      </w:rPr>
      <w:t>A</w:t>
    </w:r>
    <w:r>
      <w:rPr>
        <w:rFonts w:hint="eastAsia" w:ascii="仿宋_GB2312" w:eastAsia="仿宋_GB2312"/>
      </w:rPr>
      <w:t>栋</w:t>
    </w:r>
    <w:r>
      <w:rPr>
        <w:rFonts w:ascii="仿宋_GB2312" w:eastAsia="仿宋_GB2312"/>
      </w:rPr>
      <w:t>6</w:t>
    </w:r>
    <w:r>
      <w:rPr>
        <w:rFonts w:hint="eastAsia" w:ascii="仿宋_GB2312" w:eastAsia="仿宋_GB2312"/>
      </w:rPr>
      <w:t>楼</w:t>
    </w:r>
    <w:r>
      <w:rPr>
        <w:rFonts w:ascii="仿宋_GB2312" w:eastAsia="仿宋_GB2312"/>
      </w:rPr>
      <w:t xml:space="preserve">                                           </w:t>
    </w:r>
    <w:r>
      <w:rPr>
        <w:rFonts w:hint="eastAsia" w:ascii="仿宋_GB2312" w:eastAsia="仿宋_GB2312"/>
      </w:rPr>
      <w:t>传真：</w:t>
    </w:r>
    <w:r>
      <w:rPr>
        <w:rFonts w:ascii="仿宋_GB2312" w:eastAsia="仿宋_GB2312"/>
      </w:rPr>
      <w:t>0731-82159999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jc w:val="center"/>
      <w:rPr>
        <w:rFonts w:ascii="仿宋_GB2312" w:eastAsia="仿宋_GB2312"/>
      </w:rPr>
    </w:pPr>
    <w:r>
      <mc:AlternateContent>
        <mc:Choice Requires="wps">
          <w:drawing>
            <wp:anchor distT="0" distB="0" distL="114300" distR="114300" simplePos="0" relativeHeight="25165619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snapToGrid w:val="0"/>
                            <w:rPr>
                              <w:sz w:val="18"/>
                            </w:rPr>
                          </w:pPr>
                          <w:r>
                            <w:fldChar w:fldCharType="begin"/>
                          </w:r>
                          <w:r>
                            <w:instrText xml:space="preserve"> PAGE  \* MERGEFORMAT </w:instrText>
                          </w:r>
                          <w:r>
                            <w:fldChar w:fldCharType="separate"/>
                          </w:r>
                          <w:r>
                            <w:rPr>
                              <w:sz w:val="18"/>
                            </w:rPr>
                            <w:t>37</w:t>
                          </w:r>
                          <w:r>
                            <w:rPr>
                              <w:sz w:val="18"/>
                            </w:rPr>
                            <w:fldChar w:fldCharType="end"/>
                          </w:r>
                          <w:r>
                            <w:rPr>
                              <w:sz w:val="18"/>
                            </w:rPr>
                            <w:t xml:space="preserve"> </w:t>
                          </w:r>
                          <w:r>
                            <w:rPr>
                              <w:rFonts w:hint="eastAsia"/>
                              <w:sz w:val="18"/>
                            </w:rPr>
                            <w:t>页</w:t>
                          </w:r>
                        </w:p>
                      </w:txbxContent>
                    </wps:txbx>
                    <wps:bodyPr wrap="none" lIns="0" tIns="0" rIns="0" bIns="0" upright="1">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61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SVju&#10;0AAAAAUBAAAPAAAAAAAAAAEAIAAAACIAAABkcnMvZG93bnJldi54bWxQSwECFAAUAAAACACHTuJA&#10;b8LMqbcBAABUAwAADgAAAAAAAAABACAAAAAfAQAAZHJzL2Uyb0RvYy54bWxQSwUGAAAAAAYABgBZ&#10;AQAASAUAAAAA&#10;">
              <v:fill on="f" focussize="0,0"/>
              <v:stroke on="f" weight="0.5pt"/>
              <v:imagedata o:title=""/>
              <o:lock v:ext="edit" aspectratio="f"/>
              <v:textbox inset="0mm,0mm,0mm,0mm" style="mso-fit-shape-to-text:t;">
                <w:txbxContent>
                  <w:p>
                    <w:pPr>
                      <w:snapToGrid w:val="0"/>
                      <w:rPr>
                        <w:sz w:val="18"/>
                      </w:rPr>
                    </w:pPr>
                    <w:r>
                      <w:fldChar w:fldCharType="begin"/>
                    </w:r>
                    <w:r>
                      <w:instrText xml:space="preserve"> PAGE  \* MERGEFORMAT </w:instrText>
                    </w:r>
                    <w:r>
                      <w:fldChar w:fldCharType="separate"/>
                    </w:r>
                    <w:r>
                      <w:rPr>
                        <w:sz w:val="18"/>
                      </w:rPr>
                      <w:t>37</w:t>
                    </w:r>
                    <w:r>
                      <w:rPr>
                        <w:sz w:val="18"/>
                      </w:rPr>
                      <w:fldChar w:fldCharType="end"/>
                    </w:r>
                    <w:r>
                      <w:rPr>
                        <w:sz w:val="18"/>
                      </w:rPr>
                      <w:t xml:space="preserve"> </w:t>
                    </w:r>
                    <w:r>
                      <w:rPr>
                        <w:rFonts w:hint="eastAsia"/>
                        <w:sz w:val="18"/>
                      </w:rPr>
                      <w:t>页</w:t>
                    </w:r>
                  </w:p>
                </w:txbxContent>
              </v:textbox>
            </v:shape>
          </w:pict>
        </mc:Fallback>
      </mc:AlternateContent>
    </w:r>
    <w:r>
      <w:rPr>
        <w:rFonts w:hint="eastAsia" w:ascii="仿宋_GB2312" w:eastAsia="仿宋_GB2312"/>
      </w:rPr>
      <w:t>湖南天福项目管理有限公司</w:t>
    </w:r>
    <w:r>
      <w:rPr>
        <w:rFonts w:ascii="仿宋_GB2312" w:eastAsia="仿宋_GB2312"/>
      </w:rPr>
      <w:t xml:space="preserve">                                                </w:t>
    </w:r>
    <w:r>
      <w:rPr>
        <w:rFonts w:hint="eastAsia" w:ascii="仿宋_GB2312" w:eastAsia="仿宋_GB2312"/>
      </w:rPr>
      <w:t>电</w:t>
    </w:r>
    <w:r>
      <w:rPr>
        <w:rFonts w:ascii="仿宋_GB2312" w:eastAsia="仿宋_GB2312"/>
      </w:rPr>
      <w:t xml:space="preserve"> </w:t>
    </w:r>
    <w:r>
      <w:rPr>
        <w:rFonts w:hint="eastAsia" w:ascii="仿宋_GB2312" w:eastAsia="仿宋_GB2312"/>
      </w:rPr>
      <w:t>话：</w:t>
    </w:r>
    <w:r>
      <w:rPr>
        <w:rFonts w:ascii="仿宋_GB2312" w:eastAsia="仿宋_GB2312"/>
      </w:rPr>
      <w:t>0731-82159999</w:t>
    </w:r>
  </w:p>
  <w:p>
    <w:pPr>
      <w:pStyle w:val="12"/>
      <w:pBdr>
        <w:top w:val="single" w:color="auto" w:sz="4" w:space="0"/>
      </w:pBdr>
      <w:jc w:val="center"/>
      <w:rPr>
        <w:rFonts w:ascii="仿宋_GB2312" w:eastAsia="仿宋_GB2312"/>
      </w:rPr>
    </w:pPr>
    <w:r>
      <w:rPr>
        <w:rFonts w:hint="eastAsia" w:ascii="仿宋_GB2312" w:eastAsia="仿宋_GB2312"/>
      </w:rPr>
      <w:t>岳麓区金星北路市政府旁恒晟湘江中心</w:t>
    </w:r>
    <w:r>
      <w:rPr>
        <w:rFonts w:ascii="仿宋_GB2312" w:eastAsia="仿宋_GB2312"/>
      </w:rPr>
      <w:t>A</w:t>
    </w:r>
    <w:r>
      <w:rPr>
        <w:rFonts w:hint="eastAsia" w:ascii="仿宋_GB2312" w:eastAsia="仿宋_GB2312"/>
      </w:rPr>
      <w:t>座</w:t>
    </w:r>
    <w:r>
      <w:rPr>
        <w:rFonts w:ascii="仿宋_GB2312" w:eastAsia="仿宋_GB2312"/>
      </w:rPr>
      <w:t>6</w:t>
    </w:r>
    <w:r>
      <w:rPr>
        <w:rFonts w:hint="eastAsia" w:ascii="仿宋_GB2312" w:eastAsia="仿宋_GB2312"/>
      </w:rPr>
      <w:t>楼</w:t>
    </w:r>
    <w:r>
      <w:rPr>
        <w:rFonts w:ascii="仿宋_GB2312" w:eastAsia="仿宋_GB2312"/>
      </w:rPr>
      <w:t xml:space="preserve">                               </w:t>
    </w:r>
    <w:r>
      <w:rPr>
        <w:rFonts w:hint="eastAsia" w:ascii="仿宋_GB2312" w:eastAsia="仿宋_GB2312"/>
      </w:rPr>
      <w:t>传</w:t>
    </w:r>
    <w:r>
      <w:rPr>
        <w:rFonts w:ascii="仿宋_GB2312" w:eastAsia="仿宋_GB2312"/>
      </w:rPr>
      <w:t xml:space="preserve"> </w:t>
    </w:r>
    <w:r>
      <w:rPr>
        <w:rFonts w:hint="eastAsia" w:ascii="仿宋_GB2312" w:eastAsia="仿宋_GB2312"/>
      </w:rPr>
      <w:t>真：</w:t>
    </w:r>
    <w:r>
      <w:rPr>
        <w:rFonts w:ascii="仿宋_GB2312" w:eastAsia="仿宋_GB2312"/>
      </w:rPr>
      <w:t>0731-82159999</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jc w:val="center"/>
      <w:rPr>
        <w:rFonts w:ascii="仿宋_GB2312" w:eastAsia="仿宋_GB2312"/>
      </w:rPr>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snapToGrid w:val="0"/>
                            <w:rPr>
                              <w:sz w:val="18"/>
                            </w:rPr>
                          </w:pPr>
                          <w:r>
                            <w:rPr>
                              <w:rFonts w:hint="eastAsia"/>
                            </w:rPr>
                            <w:t>第</w:t>
                          </w:r>
                          <w:r>
                            <w:rPr>
                              <w:sz w:val="18"/>
                            </w:rPr>
                            <w:t xml:space="preserve"> </w:t>
                          </w:r>
                          <w:r>
                            <w:rPr>
                              <w:sz w:val="18"/>
                            </w:rPr>
                            <w:fldChar w:fldCharType="begin"/>
                          </w:r>
                          <w:r>
                            <w:rPr>
                              <w:sz w:val="18"/>
                            </w:rPr>
                            <w:instrText xml:space="preserve"> PAGE  \* MERGEFORMAT </w:instrText>
                          </w:r>
                          <w:r>
                            <w:rPr>
                              <w:sz w:val="18"/>
                            </w:rPr>
                            <w:fldChar w:fldCharType="separate"/>
                          </w:r>
                          <w:r>
                            <w:rPr>
                              <w:sz w:val="18"/>
                            </w:rPr>
                            <w:t>40</w:t>
                          </w:r>
                          <w:r>
                            <w:rPr>
                              <w:sz w:val="18"/>
                            </w:rPr>
                            <w:fldChar w:fldCharType="end"/>
                          </w:r>
                          <w:r>
                            <w:rPr>
                              <w:sz w:val="18"/>
                            </w:rPr>
                            <w:t xml:space="preserve"> </w:t>
                          </w:r>
                          <w:r>
                            <w:rPr>
                              <w:rFonts w:hint="eastAsia"/>
                              <w:sz w:val="18"/>
                            </w:rPr>
                            <w:t>页</w:t>
                          </w:r>
                        </w:p>
                      </w:txbxContent>
                    </wps:txbx>
                    <wps:bodyPr wrap="none" lIns="0" tIns="0" rIns="0" bIns="0" upright="1">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572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0lY&#10;7tAAAAAFAQAADwAAAAAAAAABACAAAAAiAAAAZHJzL2Rvd25yZXYueG1sUEsBAhQAFAAAAAgAh07i&#10;QPLuE9W4AQAAVAMAAA4AAAAAAAAAAQAgAAAAHwEAAGRycy9lMm9Eb2MueG1sUEsFBgAAAAAGAAYA&#10;WQEAAEkFAAAAAA==&#10;">
              <v:fill on="f" focussize="0,0"/>
              <v:stroke on="f" weight="0.5pt"/>
              <v:imagedata o:title=""/>
              <o:lock v:ext="edit" aspectratio="f"/>
              <v:textbox inset="0mm,0mm,0mm,0mm" style="mso-fit-shape-to-text:t;">
                <w:txbxContent>
                  <w:p>
                    <w:pPr>
                      <w:snapToGrid w:val="0"/>
                      <w:rPr>
                        <w:sz w:val="18"/>
                      </w:rPr>
                    </w:pPr>
                    <w:r>
                      <w:rPr>
                        <w:rFonts w:hint="eastAsia"/>
                      </w:rPr>
                      <w:t>第</w:t>
                    </w:r>
                    <w:r>
                      <w:rPr>
                        <w:sz w:val="18"/>
                      </w:rPr>
                      <w:t xml:space="preserve"> </w:t>
                    </w:r>
                    <w:r>
                      <w:rPr>
                        <w:sz w:val="18"/>
                      </w:rPr>
                      <w:fldChar w:fldCharType="begin"/>
                    </w:r>
                    <w:r>
                      <w:rPr>
                        <w:sz w:val="18"/>
                      </w:rPr>
                      <w:instrText xml:space="preserve"> PAGE  \* MERGEFORMAT </w:instrText>
                    </w:r>
                    <w:r>
                      <w:rPr>
                        <w:sz w:val="18"/>
                      </w:rPr>
                      <w:fldChar w:fldCharType="separate"/>
                    </w:r>
                    <w:r>
                      <w:rPr>
                        <w:sz w:val="18"/>
                      </w:rPr>
                      <w:t>40</w:t>
                    </w:r>
                    <w:r>
                      <w:rPr>
                        <w:sz w:val="18"/>
                      </w:rPr>
                      <w:fldChar w:fldCharType="end"/>
                    </w:r>
                    <w:r>
                      <w:rPr>
                        <w:sz w:val="18"/>
                      </w:rPr>
                      <w:t xml:space="preserve"> </w:t>
                    </w:r>
                    <w:r>
                      <w:rPr>
                        <w:rFonts w:hint="eastAsia"/>
                        <w:sz w:val="18"/>
                      </w:rPr>
                      <w:t>页</w:t>
                    </w:r>
                  </w:p>
                </w:txbxContent>
              </v:textbox>
            </v:shape>
          </w:pict>
        </mc:Fallback>
      </mc:AlternateContent>
    </w:r>
    <w:r>
      <w:rPr>
        <w:rFonts w:hint="eastAsia" w:ascii="仿宋_GB2312" w:eastAsia="仿宋_GB2312"/>
      </w:rPr>
      <w:t>湖南天福项目管理有限公司</w:t>
    </w:r>
    <w:r>
      <w:rPr>
        <w:rFonts w:ascii="仿宋_GB2312" w:eastAsia="仿宋_GB2312"/>
      </w:rPr>
      <w:t xml:space="preserve">                                            </w:t>
    </w:r>
    <w:r>
      <w:rPr>
        <w:rFonts w:hint="eastAsia" w:ascii="仿宋_GB2312" w:eastAsia="仿宋_GB2312"/>
      </w:rPr>
      <w:t>电</w:t>
    </w:r>
    <w:r>
      <w:rPr>
        <w:rFonts w:ascii="仿宋_GB2312" w:eastAsia="仿宋_GB2312"/>
      </w:rPr>
      <w:t xml:space="preserve"> </w:t>
    </w:r>
    <w:r>
      <w:rPr>
        <w:rFonts w:hint="eastAsia" w:ascii="仿宋_GB2312" w:eastAsia="仿宋_GB2312"/>
      </w:rPr>
      <w:t>话：</w:t>
    </w:r>
    <w:r>
      <w:rPr>
        <w:rFonts w:ascii="仿宋_GB2312" w:eastAsia="仿宋_GB2312"/>
      </w:rPr>
      <w:t>0731-82159999</w:t>
    </w:r>
  </w:p>
  <w:p>
    <w:pPr>
      <w:pStyle w:val="12"/>
      <w:pBdr>
        <w:top w:val="single" w:color="auto" w:sz="4" w:space="0"/>
      </w:pBdr>
      <w:jc w:val="center"/>
      <w:rPr>
        <w:rFonts w:ascii="仿宋_GB2312" w:eastAsia="仿宋_GB2312"/>
      </w:rPr>
    </w:pPr>
    <w:r>
      <w:rPr>
        <w:rFonts w:hint="eastAsia" w:ascii="仿宋_GB2312" w:eastAsia="仿宋_GB2312"/>
      </w:rPr>
      <w:t>岳麓区金星北路市政府旁恒晟湘江中心</w:t>
    </w:r>
    <w:r>
      <w:rPr>
        <w:rFonts w:ascii="仿宋_GB2312" w:eastAsia="仿宋_GB2312"/>
      </w:rPr>
      <w:t>A</w:t>
    </w:r>
    <w:r>
      <w:rPr>
        <w:rFonts w:hint="eastAsia" w:ascii="仿宋_GB2312" w:eastAsia="仿宋_GB2312"/>
      </w:rPr>
      <w:t>座</w:t>
    </w:r>
    <w:r>
      <w:rPr>
        <w:rFonts w:ascii="仿宋_GB2312" w:eastAsia="仿宋_GB2312"/>
      </w:rPr>
      <w:t>6</w:t>
    </w:r>
    <w:r>
      <w:rPr>
        <w:rFonts w:hint="eastAsia" w:ascii="仿宋_GB2312" w:eastAsia="仿宋_GB2312"/>
      </w:rPr>
      <w:t>楼</w:t>
    </w:r>
    <w:r>
      <w:rPr>
        <w:rFonts w:ascii="仿宋_GB2312" w:eastAsia="仿宋_GB2312"/>
      </w:rPr>
      <w:t xml:space="preserve">                          </w:t>
    </w:r>
    <w:r>
      <w:rPr>
        <w:rFonts w:hint="eastAsia" w:ascii="仿宋_GB2312" w:eastAsia="仿宋_GB2312"/>
      </w:rPr>
      <w:t>传</w:t>
    </w:r>
    <w:r>
      <w:rPr>
        <w:rFonts w:ascii="仿宋_GB2312" w:eastAsia="仿宋_GB2312"/>
      </w:rPr>
      <w:t xml:space="preserve"> </w:t>
    </w:r>
    <w:r>
      <w:rPr>
        <w:rFonts w:hint="eastAsia" w:ascii="仿宋_GB2312" w:eastAsia="仿宋_GB2312"/>
      </w:rPr>
      <w:t>真：</w:t>
    </w:r>
    <w:r>
      <w:rPr>
        <w:rFonts w:ascii="仿宋_GB2312" w:eastAsia="仿宋_GB2312"/>
      </w:rPr>
      <w:t>0731-82159999</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top w:val="none" w:color="auto" w:sz="0" w:space="0"/>
        <w:left w:val="none" w:color="auto" w:sz="0" w:space="0"/>
        <w:bottom w:val="none" w:color="auto" w:sz="0" w:space="0"/>
        <w:right w:val="none" w:color="auto" w:sz="0" w:space="0"/>
      </w:pBdr>
      <w:jc w:val="center"/>
    </w:pPr>
    <w:r>
      <w:rPr>
        <w:rFonts w:hint="eastAsia" w:ascii="仿宋_GB2312" w:hAnsi="仿宋_GB2312" w:eastAsia="仿宋_GB2312" w:cs="仿宋_GB2312"/>
        <w:u w:val="single"/>
        <w:lang w:eastAsia="zh-CN"/>
      </w:rPr>
      <w:t>湖南湘江新区管理委员会财政局湖南金融中心三维演示系统（二期）更新项目</w:t>
    </w:r>
    <w:r>
      <w:rPr>
        <w:rFonts w:ascii="仿宋_GB2312" w:hAnsi="仿宋_GB2312" w:eastAsia="仿宋_GB2312" w:cs="仿宋_GB2312"/>
        <w:u w:val="single"/>
      </w:rPr>
      <w:t xml:space="preserve">                     </w:t>
    </w:r>
    <w:r>
      <w:rPr>
        <w:rFonts w:hint="eastAsia" w:ascii="仿宋_GB2312" w:hAnsi="仿宋_GB2312" w:eastAsia="仿宋_GB2312" w:cs="仿宋_GB2312"/>
        <w:u w:val="single"/>
      </w:rPr>
      <w:t>竞争性磋商</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top w:val="none" w:color="auto" w:sz="0" w:space="0"/>
        <w:left w:val="none" w:color="auto" w:sz="0" w:space="0"/>
        <w:bottom w:val="single" w:color="auto" w:sz="4" w:space="0"/>
        <w:right w:val="none" w:color="auto" w:sz="0" w:space="0"/>
      </w:pBdr>
      <w:jc w:val="center"/>
      <w:rPr>
        <w:rFonts w:ascii="仿宋_GB2312" w:hAnsi="仿宋_GB2312" w:eastAsia="仿宋_GB2312" w:cs="仿宋_GB2312"/>
      </w:rPr>
    </w:pPr>
    <w:r>
      <w:rPr>
        <w:rFonts w:hint="eastAsia" w:ascii="仿宋_GB2312" w:hAnsi="仿宋_GB2312" w:eastAsia="仿宋_GB2312" w:cs="仿宋_GB2312"/>
        <w:lang w:eastAsia="zh-CN"/>
      </w:rPr>
      <w:t>湖南湘江新区管理委员会财政局湖南金融中心三维演示系统（二期）更新项目</w:t>
    </w:r>
    <w:r>
      <w:rPr>
        <w:rFonts w:ascii="仿宋_GB2312" w:hAnsi="仿宋_GB2312" w:eastAsia="仿宋_GB2312" w:cs="仿宋_GB2312"/>
      </w:rPr>
      <w:t xml:space="preserve">                  </w:t>
    </w:r>
    <w:r>
      <w:rPr>
        <w:rFonts w:hint="eastAsia" w:ascii="仿宋_GB2312" w:hAnsi="仿宋_GB2312" w:eastAsia="仿宋_GB2312" w:cs="仿宋_GB2312"/>
      </w:rPr>
      <w:t>竞争性磋商</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top w:val="none" w:color="auto" w:sz="0" w:space="0"/>
        <w:left w:val="none" w:color="auto" w:sz="0" w:space="0"/>
        <w:bottom w:val="none" w:color="auto" w:sz="0" w:space="0"/>
        <w:right w:val="none" w:color="auto" w:sz="0" w:space="0"/>
      </w:pBdr>
      <w:jc w:val="center"/>
    </w:pPr>
    <w:r>
      <w:rPr>
        <w:rFonts w:hint="eastAsia" w:ascii="仿宋_GB2312" w:hAnsi="仿宋_GB2312" w:eastAsia="仿宋_GB2312" w:cs="仿宋_GB2312"/>
        <w:u w:val="single"/>
        <w:lang w:eastAsia="zh-CN"/>
      </w:rPr>
      <w:t>湖南湘江新区管理委员会财政局湖南金融中心三维演示系统（二期）更新项目</w:t>
    </w:r>
    <w:r>
      <w:rPr>
        <w:rFonts w:ascii="仿宋_GB2312" w:hAnsi="仿宋_GB2312" w:eastAsia="仿宋_GB2312" w:cs="仿宋_GB2312"/>
        <w:u w:val="single"/>
      </w:rPr>
      <w:t xml:space="preserve">             </w:t>
    </w:r>
    <w:r>
      <w:rPr>
        <w:rFonts w:hint="eastAsia" w:ascii="仿宋_GB2312" w:hAnsi="仿宋_GB2312" w:eastAsia="仿宋_GB2312" w:cs="仿宋_GB2312"/>
        <w:u w:val="single"/>
        <w:lang w:val="en-US" w:eastAsia="zh-CN"/>
      </w:rPr>
      <w:t xml:space="preserve">   </w:t>
    </w:r>
    <w:r>
      <w:rPr>
        <w:rFonts w:ascii="仿宋_GB2312" w:hAnsi="仿宋_GB2312" w:eastAsia="仿宋_GB2312" w:cs="仿宋_GB2312"/>
        <w:u w:val="single"/>
      </w:rPr>
      <w:t xml:space="preserve">   </w:t>
    </w:r>
    <w:r>
      <w:rPr>
        <w:rFonts w:hint="eastAsia" w:ascii="仿宋_GB2312" w:hAnsi="仿宋_GB2312" w:eastAsia="仿宋_GB2312" w:cs="仿宋_GB2312"/>
        <w:u w:val="single"/>
      </w:rPr>
      <w:t>竞争性磋商</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top w:val="none" w:color="auto" w:sz="0" w:space="0"/>
        <w:left w:val="none" w:color="auto" w:sz="0" w:space="0"/>
        <w:bottom w:val="none" w:color="auto" w:sz="0" w:space="0"/>
        <w:right w:val="none" w:color="auto" w:sz="0" w:space="0"/>
      </w:pBdr>
      <w:jc w:val="center"/>
    </w:pPr>
    <w:r>
      <w:rPr>
        <w:rFonts w:hint="eastAsia" w:ascii="仿宋_GB2312" w:hAnsi="仿宋_GB2312" w:eastAsia="仿宋_GB2312" w:cs="仿宋_GB2312"/>
        <w:u w:val="single"/>
        <w:lang w:eastAsia="zh-CN"/>
      </w:rPr>
      <w:t>湖南湘江新区管理委员会财政局湖南金融中心三维演示系统（二期）更新项目</w:t>
    </w:r>
    <w:r>
      <w:rPr>
        <w:rFonts w:ascii="仿宋_GB2312" w:hAnsi="仿宋_GB2312" w:eastAsia="仿宋_GB2312" w:cs="仿宋_GB2312"/>
        <w:u w:val="single"/>
      </w:rPr>
      <w:t xml:space="preserve">             </w:t>
    </w:r>
    <w:r>
      <w:rPr>
        <w:rFonts w:hint="eastAsia" w:ascii="仿宋_GB2312" w:hAnsi="仿宋_GB2312" w:eastAsia="仿宋_GB2312" w:cs="仿宋_GB2312"/>
        <w:u w:val="single"/>
      </w:rPr>
      <w:t>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8DF8A5E"/>
    <w:multiLevelType w:val="singleLevel"/>
    <w:tmpl w:val="C8DF8A5E"/>
    <w:lvl w:ilvl="0" w:tentative="0">
      <w:start w:val="1"/>
      <w:numFmt w:val="decimal"/>
      <w:suff w:val="nothing"/>
      <w:lvlText w:val="%1、"/>
      <w:lvlJc w:val="left"/>
      <w:rPr>
        <w:rFonts w:cs="Times New Roman"/>
      </w:rPr>
    </w:lvl>
  </w:abstractNum>
  <w:abstractNum w:abstractNumId="1">
    <w:nsid w:val="D14ADA82"/>
    <w:multiLevelType w:val="singleLevel"/>
    <w:tmpl w:val="D14ADA82"/>
    <w:lvl w:ilvl="0" w:tentative="0">
      <w:start w:val="4"/>
      <w:numFmt w:val="decimal"/>
      <w:suff w:val="nothing"/>
      <w:lvlText w:val="%1、"/>
      <w:lvlJc w:val="left"/>
      <w:rPr>
        <w:rFonts w:cs="Times New Roman"/>
      </w:rPr>
    </w:lvl>
  </w:abstractNum>
  <w:abstractNum w:abstractNumId="2">
    <w:nsid w:val="15E890A4"/>
    <w:multiLevelType w:val="singleLevel"/>
    <w:tmpl w:val="15E890A4"/>
    <w:lvl w:ilvl="0" w:tentative="0">
      <w:start w:val="2"/>
      <w:numFmt w:val="chineseCounting"/>
      <w:suff w:val="nothing"/>
      <w:lvlText w:val="%1、"/>
      <w:lvlJc w:val="left"/>
      <w:rPr>
        <w:rFonts w:hint="eastAsia" w:cs="Times New Roman"/>
      </w:rPr>
    </w:lvl>
  </w:abstractNum>
  <w:abstractNum w:abstractNumId="3">
    <w:nsid w:val="332B4F9C"/>
    <w:multiLevelType w:val="singleLevel"/>
    <w:tmpl w:val="332B4F9C"/>
    <w:lvl w:ilvl="0" w:tentative="0">
      <w:start w:val="1"/>
      <w:numFmt w:val="decimal"/>
      <w:suff w:val="nothing"/>
      <w:lvlText w:val="%1、"/>
      <w:lvlJc w:val="left"/>
    </w:lvl>
  </w:abstractNum>
  <w:abstractNum w:abstractNumId="4">
    <w:nsid w:val="425443C2"/>
    <w:multiLevelType w:val="multilevel"/>
    <w:tmpl w:val="425443C2"/>
    <w:lvl w:ilvl="0" w:tentative="0">
      <w:start w:val="1"/>
      <w:numFmt w:val="chineseCountingThousand"/>
      <w:pStyle w:val="3"/>
      <w:suff w:val="nothing"/>
      <w:lvlText w:val="%1、"/>
      <w:lvlJc w:val="left"/>
      <w:pPr>
        <w:ind w:left="420" w:hanging="420"/>
      </w:pPr>
      <w:rPr>
        <w:rFonts w:hint="eastAsia" w:cs="Times New Roman"/>
      </w:rPr>
    </w:lvl>
    <w:lvl w:ilvl="1" w:tentative="0">
      <w:start w:val="1"/>
      <w:numFmt w:val="decimal"/>
      <w:lvlText w:val="%2、"/>
      <w:lvlJc w:val="left"/>
      <w:pPr>
        <w:ind w:left="1140" w:hanging="720"/>
      </w:pPr>
      <w:rPr>
        <w:rFonts w:hint="default"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58A6B8AF"/>
    <w:multiLevelType w:val="singleLevel"/>
    <w:tmpl w:val="58A6B8AF"/>
    <w:lvl w:ilvl="0" w:tentative="0">
      <w:start w:val="2"/>
      <w:numFmt w:val="chineseCounting"/>
      <w:suff w:val="nothing"/>
      <w:lvlText w:val="%1、"/>
      <w:lvlJc w:val="left"/>
      <w:rPr>
        <w:rFonts w:cs="Times New Roman"/>
      </w:rPr>
    </w:lvl>
  </w:abstractNum>
  <w:abstractNum w:abstractNumId="6">
    <w:nsid w:val="5949E596"/>
    <w:multiLevelType w:val="singleLevel"/>
    <w:tmpl w:val="5949E596"/>
    <w:lvl w:ilvl="0" w:tentative="0">
      <w:start w:val="1"/>
      <w:numFmt w:val="chineseCounting"/>
      <w:suff w:val="nothing"/>
      <w:lvlText w:val="%1、"/>
      <w:lvlJc w:val="left"/>
      <w:pPr>
        <w:ind w:firstLine="420"/>
      </w:pPr>
      <w:rPr>
        <w:rFonts w:hint="eastAsia" w:cs="Times New Roman"/>
      </w:rPr>
    </w:lvl>
  </w:abstractNum>
  <w:abstractNum w:abstractNumId="7">
    <w:nsid w:val="594A0809"/>
    <w:multiLevelType w:val="singleLevel"/>
    <w:tmpl w:val="594A0809"/>
    <w:lvl w:ilvl="0" w:tentative="0">
      <w:start w:val="4"/>
      <w:numFmt w:val="chineseCounting"/>
      <w:suff w:val="nothing"/>
      <w:lvlText w:val="%1、"/>
      <w:lvlJc w:val="left"/>
      <w:rPr>
        <w:rFonts w:cs="Times New Roman"/>
      </w:rPr>
    </w:lvl>
  </w:abstractNum>
  <w:abstractNum w:abstractNumId="8">
    <w:nsid w:val="596D70FE"/>
    <w:multiLevelType w:val="singleLevel"/>
    <w:tmpl w:val="596D70FE"/>
    <w:lvl w:ilvl="0" w:tentative="0">
      <w:start w:val="1"/>
      <w:numFmt w:val="decimal"/>
      <w:suff w:val="nothing"/>
      <w:lvlText w:val="%1、"/>
      <w:lvlJc w:val="left"/>
      <w:rPr>
        <w:rFonts w:cs="Times New Roman"/>
      </w:rPr>
    </w:lvl>
  </w:abstractNum>
  <w:num w:numId="1">
    <w:abstractNumId w:val="4"/>
  </w:num>
  <w:num w:numId="2">
    <w:abstractNumId w:val="6"/>
  </w:num>
  <w:num w:numId="3">
    <w:abstractNumId w:val="1"/>
  </w:num>
  <w:num w:numId="4">
    <w:abstractNumId w:val="0"/>
  </w:num>
  <w:num w:numId="5">
    <w:abstractNumId w:val="8"/>
  </w:num>
  <w:num w:numId="6">
    <w:abstractNumId w:val="3"/>
  </w:num>
  <w:num w:numId="7">
    <w:abstractNumId w:val="7"/>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7F4C1A"/>
    <w:rsid w:val="00057D09"/>
    <w:rsid w:val="001414EC"/>
    <w:rsid w:val="00162FB2"/>
    <w:rsid w:val="001904D1"/>
    <w:rsid w:val="001D42C9"/>
    <w:rsid w:val="001F2066"/>
    <w:rsid w:val="00233BA8"/>
    <w:rsid w:val="002425F7"/>
    <w:rsid w:val="00282E76"/>
    <w:rsid w:val="00284D22"/>
    <w:rsid w:val="002A1E37"/>
    <w:rsid w:val="002C3D87"/>
    <w:rsid w:val="002D54CB"/>
    <w:rsid w:val="002D6EAB"/>
    <w:rsid w:val="00310AA5"/>
    <w:rsid w:val="0032247B"/>
    <w:rsid w:val="00333509"/>
    <w:rsid w:val="00374C00"/>
    <w:rsid w:val="003C1031"/>
    <w:rsid w:val="003D0EA6"/>
    <w:rsid w:val="003E0F1B"/>
    <w:rsid w:val="00446D85"/>
    <w:rsid w:val="004530B0"/>
    <w:rsid w:val="00460B2F"/>
    <w:rsid w:val="0046689A"/>
    <w:rsid w:val="00466D9B"/>
    <w:rsid w:val="0047341D"/>
    <w:rsid w:val="00486010"/>
    <w:rsid w:val="004B32D6"/>
    <w:rsid w:val="004D7EC2"/>
    <w:rsid w:val="00511E03"/>
    <w:rsid w:val="00512921"/>
    <w:rsid w:val="0055141E"/>
    <w:rsid w:val="00570694"/>
    <w:rsid w:val="00590F26"/>
    <w:rsid w:val="005B262C"/>
    <w:rsid w:val="005B4F97"/>
    <w:rsid w:val="00601979"/>
    <w:rsid w:val="00622357"/>
    <w:rsid w:val="0064272D"/>
    <w:rsid w:val="006649C5"/>
    <w:rsid w:val="006B77FA"/>
    <w:rsid w:val="006C0CF4"/>
    <w:rsid w:val="006C70EF"/>
    <w:rsid w:val="00747C0A"/>
    <w:rsid w:val="00794291"/>
    <w:rsid w:val="007D0DC8"/>
    <w:rsid w:val="008119A0"/>
    <w:rsid w:val="0087305D"/>
    <w:rsid w:val="00880B5A"/>
    <w:rsid w:val="00883345"/>
    <w:rsid w:val="00892198"/>
    <w:rsid w:val="00894D20"/>
    <w:rsid w:val="008A1EFB"/>
    <w:rsid w:val="008A4332"/>
    <w:rsid w:val="00911AC3"/>
    <w:rsid w:val="009170CA"/>
    <w:rsid w:val="009C1E87"/>
    <w:rsid w:val="00A34BF8"/>
    <w:rsid w:val="00A466C5"/>
    <w:rsid w:val="00A8392E"/>
    <w:rsid w:val="00A923CE"/>
    <w:rsid w:val="00AD37CF"/>
    <w:rsid w:val="00B34FFB"/>
    <w:rsid w:val="00BA7EA2"/>
    <w:rsid w:val="00BD16A2"/>
    <w:rsid w:val="00C1717E"/>
    <w:rsid w:val="00C440AD"/>
    <w:rsid w:val="00C81E5C"/>
    <w:rsid w:val="00CA5779"/>
    <w:rsid w:val="00D7731F"/>
    <w:rsid w:val="00D816BE"/>
    <w:rsid w:val="00DC05CA"/>
    <w:rsid w:val="00DF2E68"/>
    <w:rsid w:val="00E246D6"/>
    <w:rsid w:val="00E62B7E"/>
    <w:rsid w:val="00E95115"/>
    <w:rsid w:val="00EA191D"/>
    <w:rsid w:val="00EA7981"/>
    <w:rsid w:val="00EC2E87"/>
    <w:rsid w:val="00ED77FD"/>
    <w:rsid w:val="00EE19A7"/>
    <w:rsid w:val="00F06197"/>
    <w:rsid w:val="00F13C41"/>
    <w:rsid w:val="00F35397"/>
    <w:rsid w:val="00F43468"/>
    <w:rsid w:val="01F90154"/>
    <w:rsid w:val="023C0D58"/>
    <w:rsid w:val="03506296"/>
    <w:rsid w:val="051C2BD8"/>
    <w:rsid w:val="05200886"/>
    <w:rsid w:val="09430C7C"/>
    <w:rsid w:val="0B5F41A0"/>
    <w:rsid w:val="0CF0137D"/>
    <w:rsid w:val="0D987970"/>
    <w:rsid w:val="0DCB1373"/>
    <w:rsid w:val="0F1376F0"/>
    <w:rsid w:val="0F5B2D9A"/>
    <w:rsid w:val="0FE42DD1"/>
    <w:rsid w:val="105E1B8E"/>
    <w:rsid w:val="112F7683"/>
    <w:rsid w:val="11C12ABF"/>
    <w:rsid w:val="11C60740"/>
    <w:rsid w:val="14237CEF"/>
    <w:rsid w:val="142B6428"/>
    <w:rsid w:val="14E27E3A"/>
    <w:rsid w:val="14FC2550"/>
    <w:rsid w:val="159934D2"/>
    <w:rsid w:val="15CB6104"/>
    <w:rsid w:val="16855F8D"/>
    <w:rsid w:val="1967506F"/>
    <w:rsid w:val="1A285AA9"/>
    <w:rsid w:val="1D093359"/>
    <w:rsid w:val="1D482709"/>
    <w:rsid w:val="1DA177EF"/>
    <w:rsid w:val="1DFF06BC"/>
    <w:rsid w:val="1F2C4663"/>
    <w:rsid w:val="1F40377C"/>
    <w:rsid w:val="1F4A7760"/>
    <w:rsid w:val="1FBE2D91"/>
    <w:rsid w:val="1FC0747F"/>
    <w:rsid w:val="203904BC"/>
    <w:rsid w:val="206959BA"/>
    <w:rsid w:val="208A519C"/>
    <w:rsid w:val="217107FE"/>
    <w:rsid w:val="21C0595D"/>
    <w:rsid w:val="2345193D"/>
    <w:rsid w:val="25531DE1"/>
    <w:rsid w:val="26A4205B"/>
    <w:rsid w:val="27E97F6B"/>
    <w:rsid w:val="28261D94"/>
    <w:rsid w:val="28A916E1"/>
    <w:rsid w:val="2A137B77"/>
    <w:rsid w:val="2A3F2209"/>
    <w:rsid w:val="2B2A76EE"/>
    <w:rsid w:val="2BEE2D8A"/>
    <w:rsid w:val="2D3C1E92"/>
    <w:rsid w:val="2E1678C7"/>
    <w:rsid w:val="2EB517E9"/>
    <w:rsid w:val="2F5E65B0"/>
    <w:rsid w:val="30761AD8"/>
    <w:rsid w:val="33A57581"/>
    <w:rsid w:val="3450426B"/>
    <w:rsid w:val="35CB2961"/>
    <w:rsid w:val="35F854A4"/>
    <w:rsid w:val="36BB1826"/>
    <w:rsid w:val="37C541C4"/>
    <w:rsid w:val="3D2427A8"/>
    <w:rsid w:val="3D284A9D"/>
    <w:rsid w:val="3EE56C85"/>
    <w:rsid w:val="40DD7178"/>
    <w:rsid w:val="4234130F"/>
    <w:rsid w:val="46246289"/>
    <w:rsid w:val="4688761E"/>
    <w:rsid w:val="474A2432"/>
    <w:rsid w:val="47E4101B"/>
    <w:rsid w:val="48203B04"/>
    <w:rsid w:val="497F115D"/>
    <w:rsid w:val="4A195509"/>
    <w:rsid w:val="4A4E1AC0"/>
    <w:rsid w:val="4B707E16"/>
    <w:rsid w:val="500622B9"/>
    <w:rsid w:val="50904DE6"/>
    <w:rsid w:val="51365D5E"/>
    <w:rsid w:val="523B5F62"/>
    <w:rsid w:val="52B41344"/>
    <w:rsid w:val="52F30AB0"/>
    <w:rsid w:val="53DB0FC6"/>
    <w:rsid w:val="568668F6"/>
    <w:rsid w:val="56C60F32"/>
    <w:rsid w:val="57610B45"/>
    <w:rsid w:val="576806E0"/>
    <w:rsid w:val="57AA6919"/>
    <w:rsid w:val="57B07F70"/>
    <w:rsid w:val="5823289C"/>
    <w:rsid w:val="58260E2F"/>
    <w:rsid w:val="5A95237A"/>
    <w:rsid w:val="5B7F4C1A"/>
    <w:rsid w:val="5CD6424D"/>
    <w:rsid w:val="5D41031B"/>
    <w:rsid w:val="5E163062"/>
    <w:rsid w:val="5FAA1107"/>
    <w:rsid w:val="5FD435BA"/>
    <w:rsid w:val="600901FA"/>
    <w:rsid w:val="60384E3E"/>
    <w:rsid w:val="604C4210"/>
    <w:rsid w:val="610F5BD3"/>
    <w:rsid w:val="611D71FE"/>
    <w:rsid w:val="61B21DC7"/>
    <w:rsid w:val="62DC536B"/>
    <w:rsid w:val="64861A96"/>
    <w:rsid w:val="648D0F81"/>
    <w:rsid w:val="66910F4E"/>
    <w:rsid w:val="66943DCE"/>
    <w:rsid w:val="673626E6"/>
    <w:rsid w:val="674B19A1"/>
    <w:rsid w:val="6750728C"/>
    <w:rsid w:val="67C71487"/>
    <w:rsid w:val="68633C9B"/>
    <w:rsid w:val="68A90BBD"/>
    <w:rsid w:val="6A4D6583"/>
    <w:rsid w:val="6C2B504C"/>
    <w:rsid w:val="6C9C3B5C"/>
    <w:rsid w:val="6E5B6BA3"/>
    <w:rsid w:val="6F4C0237"/>
    <w:rsid w:val="700C22D9"/>
    <w:rsid w:val="70882F35"/>
    <w:rsid w:val="70F90967"/>
    <w:rsid w:val="71464D14"/>
    <w:rsid w:val="71BF1AB3"/>
    <w:rsid w:val="73715422"/>
    <w:rsid w:val="760C1C16"/>
    <w:rsid w:val="76D14B11"/>
    <w:rsid w:val="76D63371"/>
    <w:rsid w:val="77104558"/>
    <w:rsid w:val="78326355"/>
    <w:rsid w:val="78FA7272"/>
    <w:rsid w:val="794568B4"/>
    <w:rsid w:val="79491A5C"/>
    <w:rsid w:val="7AA32284"/>
    <w:rsid w:val="7BAC1380"/>
    <w:rsid w:val="7D751B0E"/>
    <w:rsid w:val="7D884000"/>
    <w:rsid w:val="7EC43193"/>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35"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ocked="1"/>
    <w:lsdException w:unhideWhenUsed="0" w:uiPriority="0" w:semiHidden="0" w:name="Closing"/>
    <w:lsdException w:unhideWhenUsed="0" w:uiPriority="0"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ocked="1"/>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99" w:semiHidden="0" w:name="Strong"/>
    <w:lsdException w:qFormat="1" w:unhideWhenUsed="0" w:uiPriority="99"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99" w:semiHidden="0" w:name="HTML Acronym"/>
    <w:lsdException w:unhideWhenUsed="0" w:uiPriority="0" w:semiHidden="0"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nhideWhenUsed="0" w:uiPriority="0" w:semiHidden="0" w:name="HTML Preformatted"/>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iPriority="99" w:name="Normal Table"/>
    <w:lsdException w:unhideWhenUsed="0" w:uiPriority="0"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31"/>
    <w:qFormat/>
    <w:uiPriority w:val="99"/>
    <w:pPr>
      <w:keepNext/>
      <w:keepLines/>
      <w:spacing w:before="340" w:after="330" w:line="578" w:lineRule="auto"/>
      <w:outlineLvl w:val="0"/>
    </w:pPr>
    <w:rPr>
      <w:b/>
      <w:bCs/>
      <w:kern w:val="44"/>
      <w:sz w:val="44"/>
      <w:szCs w:val="44"/>
    </w:rPr>
  </w:style>
  <w:style w:type="paragraph" w:styleId="3">
    <w:name w:val="heading 2"/>
    <w:basedOn w:val="4"/>
    <w:next w:val="1"/>
    <w:link w:val="32"/>
    <w:qFormat/>
    <w:uiPriority w:val="99"/>
    <w:pPr>
      <w:numPr>
        <w:ilvl w:val="0"/>
        <w:numId w:val="1"/>
      </w:numPr>
      <w:adjustRightInd w:val="0"/>
      <w:snapToGrid w:val="0"/>
      <w:spacing w:line="600" w:lineRule="exact"/>
      <w:ind w:firstLine="0" w:firstLineChars="0"/>
      <w:outlineLvl w:val="1"/>
    </w:pPr>
    <w:rPr>
      <w:rFonts w:ascii="仿宋_GB2312" w:hAnsi="宋体" w:eastAsia="仿宋_GB2312"/>
      <w:b/>
      <w:color w:val="000000"/>
      <w:sz w:val="28"/>
      <w:szCs w:val="28"/>
    </w:rPr>
  </w:style>
  <w:style w:type="paragraph" w:styleId="5">
    <w:name w:val="heading 3"/>
    <w:basedOn w:val="4"/>
    <w:next w:val="1"/>
    <w:link w:val="33"/>
    <w:qFormat/>
    <w:uiPriority w:val="99"/>
    <w:pPr>
      <w:keepNext/>
      <w:keepLines/>
      <w:spacing w:before="260" w:after="260" w:line="416" w:lineRule="auto"/>
      <w:outlineLvl w:val="2"/>
    </w:pPr>
    <w:rPr>
      <w:b/>
      <w:bCs/>
      <w:sz w:val="32"/>
      <w:szCs w:val="32"/>
    </w:rPr>
  </w:style>
  <w:style w:type="character" w:default="1" w:styleId="17">
    <w:name w:val="Default Paragraph Font"/>
    <w:semiHidden/>
    <w:qFormat/>
    <w:uiPriority w:val="99"/>
  </w:style>
  <w:style w:type="table" w:default="1" w:styleId="29">
    <w:name w:val="Normal Table"/>
    <w:semiHidden/>
    <w:unhideWhenUsed/>
    <w:qFormat/>
    <w:uiPriority w:val="99"/>
    <w:tblPr>
      <w:tblLayout w:type="fixed"/>
      <w:tblCellMar>
        <w:top w:w="0" w:type="dxa"/>
        <w:left w:w="108" w:type="dxa"/>
        <w:bottom w:w="0" w:type="dxa"/>
        <w:right w:w="108" w:type="dxa"/>
      </w:tblCellMar>
    </w:tblPr>
  </w:style>
  <w:style w:type="paragraph" w:styleId="4">
    <w:name w:val="List Paragraph"/>
    <w:basedOn w:val="1"/>
    <w:qFormat/>
    <w:uiPriority w:val="99"/>
    <w:pPr>
      <w:ind w:firstLine="420" w:firstLineChars="200"/>
    </w:pPr>
  </w:style>
  <w:style w:type="paragraph" w:styleId="6">
    <w:name w:val="annotation text"/>
    <w:basedOn w:val="1"/>
    <w:link w:val="34"/>
    <w:qFormat/>
    <w:uiPriority w:val="99"/>
    <w:pPr>
      <w:jc w:val="left"/>
    </w:pPr>
  </w:style>
  <w:style w:type="paragraph" w:styleId="7">
    <w:name w:val="Body Text"/>
    <w:basedOn w:val="1"/>
    <w:link w:val="35"/>
    <w:qFormat/>
    <w:uiPriority w:val="99"/>
    <w:pPr>
      <w:spacing w:after="120"/>
    </w:pPr>
  </w:style>
  <w:style w:type="paragraph" w:styleId="8">
    <w:name w:val="Body Text Indent"/>
    <w:basedOn w:val="1"/>
    <w:link w:val="36"/>
    <w:qFormat/>
    <w:uiPriority w:val="99"/>
    <w:pPr>
      <w:spacing w:after="120"/>
      <w:ind w:left="420" w:leftChars="200"/>
    </w:pPr>
  </w:style>
  <w:style w:type="paragraph" w:styleId="9">
    <w:name w:val="Plain Text"/>
    <w:basedOn w:val="1"/>
    <w:link w:val="37"/>
    <w:qFormat/>
    <w:uiPriority w:val="99"/>
    <w:rPr>
      <w:rFonts w:ascii="宋体" w:hAnsi="Courier New" w:cs="Courier New"/>
      <w:szCs w:val="21"/>
    </w:rPr>
  </w:style>
  <w:style w:type="paragraph" w:styleId="10">
    <w:name w:val="Date"/>
    <w:basedOn w:val="1"/>
    <w:next w:val="1"/>
    <w:link w:val="38"/>
    <w:qFormat/>
    <w:uiPriority w:val="99"/>
    <w:rPr>
      <w:sz w:val="24"/>
      <w:szCs w:val="20"/>
    </w:rPr>
  </w:style>
  <w:style w:type="paragraph" w:styleId="11">
    <w:name w:val="Balloon Text"/>
    <w:basedOn w:val="1"/>
    <w:link w:val="39"/>
    <w:qFormat/>
    <w:uiPriority w:val="99"/>
    <w:rPr>
      <w:sz w:val="18"/>
      <w:szCs w:val="18"/>
    </w:rPr>
  </w:style>
  <w:style w:type="paragraph" w:styleId="12">
    <w:name w:val="footer"/>
    <w:basedOn w:val="1"/>
    <w:link w:val="40"/>
    <w:qFormat/>
    <w:uiPriority w:val="99"/>
    <w:pPr>
      <w:tabs>
        <w:tab w:val="center" w:pos="4153"/>
        <w:tab w:val="right" w:pos="8306"/>
      </w:tabs>
      <w:snapToGrid w:val="0"/>
      <w:jc w:val="left"/>
    </w:pPr>
    <w:rPr>
      <w:sz w:val="18"/>
    </w:rPr>
  </w:style>
  <w:style w:type="paragraph" w:styleId="13">
    <w:name w:val="header"/>
    <w:basedOn w:val="1"/>
    <w:link w:val="4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Body Text Indent 3"/>
    <w:basedOn w:val="1"/>
    <w:link w:val="42"/>
    <w:qFormat/>
    <w:uiPriority w:val="99"/>
    <w:pPr>
      <w:spacing w:line="400" w:lineRule="exact"/>
      <w:ind w:left="2" w:leftChars="1"/>
    </w:pPr>
    <w:rPr>
      <w:rFonts w:ascii="宋体" w:hAnsi="宋体"/>
      <w:szCs w:val="20"/>
    </w:rPr>
  </w:style>
  <w:style w:type="paragraph" w:styleId="1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6">
    <w:name w:val="Title"/>
    <w:basedOn w:val="1"/>
    <w:next w:val="1"/>
    <w:qFormat/>
    <w:locked/>
    <w:uiPriority w:val="10"/>
    <w:pPr>
      <w:spacing w:before="240" w:after="60"/>
      <w:jc w:val="center"/>
      <w:outlineLvl w:val="0"/>
    </w:pPr>
    <w:rPr>
      <w:b/>
    </w:rPr>
  </w:style>
  <w:style w:type="character" w:styleId="18">
    <w:name w:val="Strong"/>
    <w:basedOn w:val="17"/>
    <w:qFormat/>
    <w:uiPriority w:val="99"/>
    <w:rPr>
      <w:rFonts w:cs="Times New Roman"/>
      <w:b/>
    </w:rPr>
  </w:style>
  <w:style w:type="character" w:styleId="19">
    <w:name w:val="Emphasis"/>
    <w:basedOn w:val="17"/>
    <w:qFormat/>
    <w:uiPriority w:val="99"/>
    <w:rPr>
      <w:rFonts w:cs="Times New Roman"/>
      <w:i/>
    </w:rPr>
  </w:style>
  <w:style w:type="character" w:styleId="20">
    <w:name w:val="HTML Definition"/>
    <w:basedOn w:val="17"/>
    <w:qFormat/>
    <w:uiPriority w:val="99"/>
    <w:rPr>
      <w:rFonts w:cs="Times New Roman"/>
      <w:i/>
    </w:rPr>
  </w:style>
  <w:style w:type="character" w:styleId="21">
    <w:name w:val="HTML Typewriter"/>
    <w:basedOn w:val="17"/>
    <w:qFormat/>
    <w:uiPriority w:val="99"/>
    <w:rPr>
      <w:rFonts w:ascii="Courier New" w:hAnsi="Courier New" w:cs="Times New Roman"/>
      <w:sz w:val="24"/>
      <w:szCs w:val="24"/>
    </w:rPr>
  </w:style>
  <w:style w:type="character" w:styleId="22">
    <w:name w:val="HTML Acronym"/>
    <w:basedOn w:val="17"/>
    <w:qFormat/>
    <w:uiPriority w:val="99"/>
    <w:rPr>
      <w:rFonts w:cs="Times New Roman"/>
    </w:rPr>
  </w:style>
  <w:style w:type="character" w:styleId="23">
    <w:name w:val="HTML Variable"/>
    <w:basedOn w:val="17"/>
    <w:qFormat/>
    <w:uiPriority w:val="99"/>
    <w:rPr>
      <w:rFonts w:cs="Times New Roman"/>
      <w:i/>
    </w:rPr>
  </w:style>
  <w:style w:type="character" w:styleId="24">
    <w:name w:val="Hyperlink"/>
    <w:basedOn w:val="17"/>
    <w:qFormat/>
    <w:uiPriority w:val="99"/>
    <w:rPr>
      <w:rFonts w:cs="Times New Roman"/>
      <w:color w:val="0000FF"/>
      <w:u w:val="single"/>
    </w:rPr>
  </w:style>
  <w:style w:type="character" w:styleId="25">
    <w:name w:val="HTML Code"/>
    <w:basedOn w:val="17"/>
    <w:qFormat/>
    <w:uiPriority w:val="99"/>
    <w:rPr>
      <w:rFonts w:ascii="Arial" w:hAnsi="Arial" w:cs="Arial"/>
      <w:sz w:val="24"/>
      <w:szCs w:val="24"/>
    </w:rPr>
  </w:style>
  <w:style w:type="character" w:styleId="26">
    <w:name w:val="HTML Cite"/>
    <w:basedOn w:val="17"/>
    <w:qFormat/>
    <w:uiPriority w:val="99"/>
    <w:rPr>
      <w:rFonts w:cs="Times New Roman"/>
      <w:i/>
    </w:rPr>
  </w:style>
  <w:style w:type="character" w:styleId="27">
    <w:name w:val="HTML Keyboard"/>
    <w:basedOn w:val="17"/>
    <w:qFormat/>
    <w:uiPriority w:val="99"/>
    <w:rPr>
      <w:rFonts w:ascii="Courier New" w:hAnsi="Courier New" w:cs="Times New Roman"/>
      <w:color w:val="666666"/>
      <w:sz w:val="24"/>
      <w:szCs w:val="24"/>
    </w:rPr>
  </w:style>
  <w:style w:type="character" w:styleId="28">
    <w:name w:val="HTML Sample"/>
    <w:basedOn w:val="17"/>
    <w:qFormat/>
    <w:uiPriority w:val="99"/>
    <w:rPr>
      <w:rFonts w:ascii="Courier New" w:hAnsi="Courier New" w:cs="Times New Roman"/>
      <w:sz w:val="24"/>
      <w:szCs w:val="24"/>
    </w:rPr>
  </w:style>
  <w:style w:type="table" w:styleId="30">
    <w:name w:val="Table Grid"/>
    <w:basedOn w:val="29"/>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31">
    <w:name w:val="Heading 1 Char"/>
    <w:basedOn w:val="17"/>
    <w:link w:val="2"/>
    <w:qFormat/>
    <w:locked/>
    <w:uiPriority w:val="99"/>
    <w:rPr>
      <w:rFonts w:ascii="Calibri" w:hAnsi="Calibri" w:cs="Times New Roman"/>
      <w:b/>
      <w:bCs/>
      <w:kern w:val="44"/>
      <w:sz w:val="44"/>
      <w:szCs w:val="44"/>
    </w:rPr>
  </w:style>
  <w:style w:type="character" w:customStyle="1" w:styleId="32">
    <w:name w:val="Heading 2 Char"/>
    <w:basedOn w:val="17"/>
    <w:link w:val="3"/>
    <w:semiHidden/>
    <w:qFormat/>
    <w:locked/>
    <w:uiPriority w:val="99"/>
    <w:rPr>
      <w:rFonts w:ascii="Cambria" w:hAnsi="Cambria" w:eastAsia="宋体" w:cs="Times New Roman"/>
      <w:b/>
      <w:bCs/>
      <w:sz w:val="32"/>
      <w:szCs w:val="32"/>
    </w:rPr>
  </w:style>
  <w:style w:type="character" w:customStyle="1" w:styleId="33">
    <w:name w:val="Heading 3 Char"/>
    <w:basedOn w:val="17"/>
    <w:link w:val="5"/>
    <w:semiHidden/>
    <w:qFormat/>
    <w:locked/>
    <w:uiPriority w:val="99"/>
    <w:rPr>
      <w:rFonts w:ascii="Calibri" w:hAnsi="Calibri" w:cs="Times New Roman"/>
      <w:b/>
      <w:bCs/>
      <w:sz w:val="32"/>
      <w:szCs w:val="32"/>
    </w:rPr>
  </w:style>
  <w:style w:type="character" w:customStyle="1" w:styleId="34">
    <w:name w:val="Comment Text Char"/>
    <w:basedOn w:val="17"/>
    <w:link w:val="6"/>
    <w:semiHidden/>
    <w:qFormat/>
    <w:locked/>
    <w:uiPriority w:val="99"/>
    <w:rPr>
      <w:rFonts w:ascii="Calibri" w:hAnsi="Calibri" w:cs="Times New Roman"/>
      <w:sz w:val="24"/>
      <w:szCs w:val="24"/>
    </w:rPr>
  </w:style>
  <w:style w:type="character" w:customStyle="1" w:styleId="35">
    <w:name w:val="Body Text Char"/>
    <w:basedOn w:val="17"/>
    <w:link w:val="7"/>
    <w:semiHidden/>
    <w:qFormat/>
    <w:locked/>
    <w:uiPriority w:val="99"/>
    <w:rPr>
      <w:rFonts w:ascii="Calibri" w:hAnsi="Calibri" w:cs="Times New Roman"/>
      <w:sz w:val="24"/>
      <w:szCs w:val="24"/>
    </w:rPr>
  </w:style>
  <w:style w:type="character" w:customStyle="1" w:styleId="36">
    <w:name w:val="Body Text Indent Char"/>
    <w:basedOn w:val="17"/>
    <w:link w:val="8"/>
    <w:semiHidden/>
    <w:qFormat/>
    <w:locked/>
    <w:uiPriority w:val="99"/>
    <w:rPr>
      <w:rFonts w:ascii="Calibri" w:hAnsi="Calibri" w:cs="Times New Roman"/>
      <w:sz w:val="24"/>
      <w:szCs w:val="24"/>
    </w:rPr>
  </w:style>
  <w:style w:type="character" w:customStyle="1" w:styleId="37">
    <w:name w:val="Plain Text Char"/>
    <w:basedOn w:val="17"/>
    <w:link w:val="9"/>
    <w:semiHidden/>
    <w:qFormat/>
    <w:locked/>
    <w:uiPriority w:val="99"/>
    <w:rPr>
      <w:rFonts w:ascii="宋体" w:hAnsi="Courier New" w:cs="Courier New"/>
      <w:sz w:val="21"/>
      <w:szCs w:val="21"/>
    </w:rPr>
  </w:style>
  <w:style w:type="character" w:customStyle="1" w:styleId="38">
    <w:name w:val="Date Char"/>
    <w:basedOn w:val="17"/>
    <w:link w:val="10"/>
    <w:semiHidden/>
    <w:qFormat/>
    <w:locked/>
    <w:uiPriority w:val="99"/>
    <w:rPr>
      <w:rFonts w:ascii="Calibri" w:hAnsi="Calibri" w:cs="Times New Roman"/>
      <w:sz w:val="24"/>
      <w:szCs w:val="24"/>
    </w:rPr>
  </w:style>
  <w:style w:type="character" w:customStyle="1" w:styleId="39">
    <w:name w:val="Balloon Text Char"/>
    <w:basedOn w:val="17"/>
    <w:link w:val="11"/>
    <w:qFormat/>
    <w:locked/>
    <w:uiPriority w:val="99"/>
    <w:rPr>
      <w:rFonts w:ascii="Calibri" w:hAnsi="Calibri" w:eastAsia="宋体" w:cs="Times New Roman"/>
      <w:kern w:val="2"/>
      <w:sz w:val="18"/>
      <w:szCs w:val="18"/>
    </w:rPr>
  </w:style>
  <w:style w:type="character" w:customStyle="1" w:styleId="40">
    <w:name w:val="Footer Char"/>
    <w:basedOn w:val="17"/>
    <w:link w:val="12"/>
    <w:semiHidden/>
    <w:qFormat/>
    <w:locked/>
    <w:uiPriority w:val="99"/>
    <w:rPr>
      <w:rFonts w:ascii="Calibri" w:hAnsi="Calibri" w:cs="Times New Roman"/>
      <w:sz w:val="18"/>
      <w:szCs w:val="18"/>
    </w:rPr>
  </w:style>
  <w:style w:type="character" w:customStyle="1" w:styleId="41">
    <w:name w:val="Header Char"/>
    <w:basedOn w:val="17"/>
    <w:link w:val="13"/>
    <w:semiHidden/>
    <w:qFormat/>
    <w:locked/>
    <w:uiPriority w:val="99"/>
    <w:rPr>
      <w:rFonts w:ascii="Calibri" w:hAnsi="Calibri" w:cs="Times New Roman"/>
      <w:sz w:val="18"/>
      <w:szCs w:val="18"/>
    </w:rPr>
  </w:style>
  <w:style w:type="character" w:customStyle="1" w:styleId="42">
    <w:name w:val="Body Text Indent 3 Char"/>
    <w:basedOn w:val="17"/>
    <w:link w:val="14"/>
    <w:semiHidden/>
    <w:qFormat/>
    <w:locked/>
    <w:uiPriority w:val="99"/>
    <w:rPr>
      <w:rFonts w:ascii="Calibri" w:hAnsi="Calibri" w:cs="Times New Roman"/>
      <w:sz w:val="16"/>
      <w:szCs w:val="16"/>
    </w:rPr>
  </w:style>
  <w:style w:type="paragraph" w:customStyle="1" w:styleId="43">
    <w:name w:val="p0"/>
    <w:basedOn w:val="1"/>
    <w:qFormat/>
    <w:uiPriority w:val="99"/>
    <w:pPr>
      <w:widowControl/>
    </w:pPr>
    <w:rPr>
      <w:kern w:val="0"/>
      <w:szCs w:val="21"/>
    </w:rPr>
  </w:style>
  <w:style w:type="paragraph" w:customStyle="1" w:styleId="44">
    <w:name w:val="列出段落1"/>
    <w:basedOn w:val="1"/>
    <w:qFormat/>
    <w:uiPriority w:val="99"/>
    <w:pPr>
      <w:ind w:firstLine="420" w:firstLineChars="200"/>
    </w:pPr>
    <w:rPr>
      <w:rFonts w:ascii="Times New Roman" w:hAnsi="Times New Roman"/>
    </w:rPr>
  </w:style>
  <w:style w:type="paragraph" w:customStyle="1" w:styleId="45">
    <w:name w:val="_Style 1"/>
    <w:basedOn w:val="1"/>
    <w:qFormat/>
    <w:uiPriority w:val="99"/>
    <w:pPr>
      <w:ind w:firstLine="420" w:firstLineChars="200"/>
    </w:pPr>
    <w:rPr>
      <w:szCs w:val="22"/>
    </w:rPr>
  </w:style>
  <w:style w:type="paragraph" w:customStyle="1" w:styleId="46">
    <w:name w:val="_Style 2"/>
    <w:basedOn w:val="1"/>
    <w:qFormat/>
    <w:uiPriority w:val="99"/>
    <w:pPr>
      <w:ind w:firstLine="420" w:firstLineChars="200"/>
    </w:pPr>
    <w:rPr>
      <w:szCs w:val="22"/>
    </w:rPr>
  </w:style>
  <w:style w:type="paragraph" w:customStyle="1" w:styleId="47">
    <w:name w:val="Default"/>
    <w:qFormat/>
    <w:uiPriority w:val="99"/>
    <w:pPr>
      <w:widowControl w:val="0"/>
      <w:autoSpaceDE w:val="0"/>
      <w:autoSpaceDN w:val="0"/>
      <w:adjustRightInd w:val="0"/>
    </w:pPr>
    <w:rPr>
      <w:rFonts w:ascii="宋体" w:hAnsi="Calibri" w:eastAsia="宋体" w:cs="宋体"/>
      <w:color w:val="000000"/>
      <w:kern w:val="0"/>
      <w:sz w:val="24"/>
      <w:szCs w:val="24"/>
      <w:lang w:val="en-US" w:eastAsia="zh-CN" w:bidi="ar-SA"/>
    </w:rPr>
  </w:style>
  <w:style w:type="paragraph" w:customStyle="1" w:styleId="48">
    <w:name w:val="正文 A"/>
    <w:qFormat/>
    <w:uiPriority w:val="99"/>
    <w:pPr>
      <w:widowControl w:val="0"/>
      <w:jc w:val="both"/>
    </w:pPr>
    <w:rPr>
      <w:rFonts w:ascii="Arial Unicode MS" w:hAnsi="Arial Unicode MS" w:eastAsia="宋体" w:cs="Arial Unicode MS"/>
      <w:color w:val="000000"/>
      <w:kern w:val="2"/>
      <w:sz w:val="21"/>
      <w:szCs w:val="21"/>
      <w:u w:color="000000"/>
      <w:lang w:val="en-US" w:eastAsia="zh-CN" w:bidi="ar-SA"/>
    </w:rPr>
  </w:style>
  <w:style w:type="paragraph" w:customStyle="1" w:styleId="49">
    <w:name w:val="列表段落1"/>
    <w:basedOn w:val="1"/>
    <w:qFormat/>
    <w:uiPriority w:val="99"/>
    <w:pPr>
      <w:ind w:firstLine="420" w:firstLineChars="200"/>
    </w:pPr>
  </w:style>
  <w:style w:type="character" w:customStyle="1" w:styleId="50">
    <w:name w:val="title_3"/>
    <w:basedOn w:val="17"/>
    <w:qFormat/>
    <w:uiPriority w:val="99"/>
    <w:rPr>
      <w:rFonts w:cs="Times New Roman"/>
      <w:b/>
      <w:sz w:val="15"/>
      <w:szCs w:val="15"/>
    </w:rPr>
  </w:style>
  <w:style w:type="character" w:customStyle="1" w:styleId="51">
    <w:name w:val="content_table1"/>
    <w:basedOn w:val="17"/>
    <w:qFormat/>
    <w:uiPriority w:val="99"/>
    <w:rPr>
      <w:rFonts w:cs="Times New Roman"/>
      <w:sz w:val="19"/>
      <w:szCs w:val="19"/>
    </w:rPr>
  </w:style>
  <w:style w:type="character" w:customStyle="1" w:styleId="52">
    <w:name w:val="title_1"/>
    <w:basedOn w:val="17"/>
    <w:qFormat/>
    <w:uiPriority w:val="99"/>
    <w:rPr>
      <w:rFonts w:cs="Times New Roman"/>
      <w:b/>
      <w:sz w:val="30"/>
      <w:szCs w:val="30"/>
    </w:rPr>
  </w:style>
  <w:style w:type="character" w:customStyle="1" w:styleId="53">
    <w:name w:val="title_2"/>
    <w:basedOn w:val="17"/>
    <w:qFormat/>
    <w:uiPriority w:val="99"/>
    <w:rPr>
      <w:rFonts w:cs="Times New Roman"/>
      <w:b/>
      <w:sz w:val="19"/>
      <w:szCs w:val="19"/>
    </w:rPr>
  </w:style>
  <w:style w:type="character" w:customStyle="1" w:styleId="54">
    <w:name w:val="content"/>
    <w:basedOn w:val="17"/>
    <w:qFormat/>
    <w:uiPriority w:val="99"/>
    <w:rPr>
      <w:rFonts w:cs="Times New Roman"/>
      <w:sz w:val="19"/>
      <w:szCs w:val="19"/>
    </w:rPr>
  </w:style>
  <w:style w:type="character" w:customStyle="1" w:styleId="55">
    <w:name w:val="content_1"/>
    <w:basedOn w:val="17"/>
    <w:qFormat/>
    <w:uiPriority w:val="99"/>
    <w:rPr>
      <w:rFonts w:cs="Times New Roman"/>
      <w:sz w:val="19"/>
      <w:szCs w:val="19"/>
    </w:rPr>
  </w:style>
  <w:style w:type="character" w:customStyle="1" w:styleId="56">
    <w:name w:val="content_2"/>
    <w:basedOn w:val="17"/>
    <w:qFormat/>
    <w:uiPriority w:val="99"/>
    <w:rPr>
      <w:rFonts w:cs="Times New Roman"/>
      <w:sz w:val="19"/>
      <w:szCs w:val="19"/>
    </w:rPr>
  </w:style>
  <w:style w:type="character" w:customStyle="1" w:styleId="57">
    <w:name w:val="content_3"/>
    <w:basedOn w:val="17"/>
    <w:qFormat/>
    <w:uiPriority w:val="99"/>
    <w:rPr>
      <w:rFonts w:cs="Times New Roman"/>
      <w:sz w:val="19"/>
      <w:szCs w:val="19"/>
    </w:rPr>
  </w:style>
  <w:style w:type="paragraph" w:customStyle="1" w:styleId="58">
    <w:name w:val="样式2"/>
    <w:basedOn w:val="59"/>
    <w:qFormat/>
    <w:uiPriority w:val="99"/>
    <w:pPr>
      <w:ind w:firstLine="0" w:firstLineChars="0"/>
    </w:pPr>
    <w:rPr>
      <w:szCs w:val="24"/>
    </w:rPr>
  </w:style>
  <w:style w:type="paragraph" w:customStyle="1" w:styleId="59">
    <w:name w:val="样式1"/>
    <w:basedOn w:val="8"/>
    <w:qFormat/>
    <w:uiPriority w:val="99"/>
    <w:pPr>
      <w:spacing w:after="0" w:line="360" w:lineRule="auto"/>
      <w:ind w:left="0" w:leftChars="0" w:firstLine="480" w:firstLineChars="200"/>
    </w:pPr>
    <w:rPr>
      <w:rFonts w:ascii="Times New Roman" w:hAnsi="Times New Roman" w:eastAsia="仿宋"/>
      <w:color w:val="000000"/>
      <w:sz w:val="24"/>
      <w:szCs w:val="32"/>
    </w:rPr>
  </w:style>
  <w:style w:type="paragraph" w:customStyle="1" w:styleId="60">
    <w:name w:val="列出段落2"/>
    <w:basedOn w:val="1"/>
    <w:qFormat/>
    <w:uiPriority w:val="99"/>
    <w:pPr>
      <w:ind w:firstLine="420" w:firstLineChars="200"/>
    </w:pPr>
    <w:rPr>
      <w:rFonts w:ascii="Calibri" w:hAnsi="Calibri" w:eastAsia="宋体" w:cs="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Win7w.Com</Company>
  <Pages>57</Pages>
  <Words>4796</Words>
  <Characters>27340</Characters>
  <Lines>0</Lines>
  <Paragraphs>0</Paragraphs>
  <TotalTime>0</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2018-11-09T05:21:00Z</dcterms:created>
  <dc:creator>Lishasha</dc:creator>
  <cp:lastModifiedBy>Lishasha</cp:lastModifiedBy>
  <cp:lastPrinted>2018-11-18T11:39:00Z</cp:lastPrinted>
  <dcterms:modified xsi:type="dcterms:W3CDTF">2018-11-22T02:42:32Z</dcterms:modified>
  <dc:title>政府采购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