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930" cy="9444355"/>
            <wp:effectExtent l="0" t="0" r="7620" b="4445"/>
            <wp:docPr id="1" name="图片 1" descr="2019年度湖南湘江新区建设项目三维仿真评审服务 最终报价表及分项价格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年度湖南湘江新区建设项目三维仿真评审服务 最终报价表及分项价格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94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9740" cy="9629775"/>
            <wp:effectExtent l="0" t="0" r="10160" b="9525"/>
            <wp:docPr id="2" name="图片 2" descr="2019年度湖南湘江新区建设项目三维仿真评审服务 最终报价表及分项价格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年度湖南湘江新区建设项目三维仿真评审服务 最终报价表及分项价格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C1E90"/>
    <w:rsid w:val="247C1E9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2018-11-21T04:34:00Z</dcterms:created>
  <dc:creator>浅眠</dc:creator>
  <cp:lastModifiedBy>浅眠</cp:lastModifiedBy>
  <dcterms:modified xsi:type="dcterms:W3CDTF">2018-11-21T04:38:13Z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